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tbl>
      <w:tblPr>
        <w:tblW w:type="dxa" w:w="9026"/>
        <w:tblBorders>
          <w:top w:val="none"/>
          <w:left w:val="none"/>
          <w:bottom w:val="none"/>
          <w:right w:val="none"/>
          <w:insideH w:val="none"/>
          <w:insideV w:val="none"/>
        </w:tblBorders>
      </w:tblPr>
      <w:tblGrid>
        <w:gridCol w:w="1800"/>
        <w:gridCol w:w="5426"/>
        <w:gridCol w:w="1800"/>
      </w:tblGrid>
      <w:tr>
        <w:tc>
          <w:tcPr>
            <w:tcW w:type="dxa" w:w="1800"/>
            <w:tcBorders>
              <w:top w:val="none"/>
              <w:left w:val="none"/>
              <w:bottom w:val="none"/>
              <w:right w:val="none"/>
            </w:tcBorders>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1047750"/>
                          </a:xfrm>
                          <a:prstGeom prst="rect">
                            <a:avLst/>
                          </a:prstGeom>
                        </pic:spPr>
                      </pic:pic>
                    </a:graphicData>
                  </a:graphic>
                </wp:inline>
              </w:drawing>
            </w:r>
          </w:p>
        </w:tc>
        <w:tc>
          <w:tcPr>
            <w:tcW w:type="dxa" w:w="5426"/>
            <w:tcBorders>
              <w:top w:val="none"/>
              <w:left w:val="none"/>
              <w:bottom w:val="none"/>
              <w:right w:val="none"/>
            </w:tcBorders>
            <w:vAlign w:val="center"/>
          </w:tcPr>
          <w:p>
            <w:pPr>
              <w:spacing w:after="120"/>
              <w:jc w:val="center"/>
            </w:pPr>
            <w:r>
              <w:rPr>
                <w:rFonts w:ascii="Calibri" w:cs="Calibri" w:eastAsia="Calibri" w:hAnsi="Calibri"/>
                <w:b/>
                <w:bCs/>
                <w:color w:val="1F3864"/>
                <w:sz w:val="56"/>
                <w:szCs w:val="56"/>
              </w:rPr>
              <w:t xml:space="preserve">Al-Hadba University</w:t>
            </w:r>
          </w:p>
          <w:p>
            <w:pPr>
              <w:jc w:val="center"/>
            </w:pPr>
            <w:r>
              <w:rPr>
                <w:rFonts w:ascii="Calibri" w:cs="Calibri" w:eastAsia="Calibri" w:hAnsi="Calibri"/>
                <w:i/>
                <w:iCs/>
                <w:color w:val="9C7A3C"/>
                <w:sz w:val="26"/>
                <w:szCs w:val="26"/>
              </w:rPr>
              <w:t xml:space="preserve">“Where Heritage Meets Innovation”</w:t>
            </w:r>
          </w:p>
        </w:tc>
        <w:tc>
          <w:tcPr>
            <w:tcW w:type="dxa" w:w="1800"/>
            <w:tcBorders>
              <w:top w:val="none"/>
              <w:left w:val="none"/>
              <w:bottom w:val="none"/>
              <w:right w:val="none"/>
            </w:tcBorders>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480"/>
      </w:pPr>
    </w:p>
    <w:p>
      <w:pPr>
        <w:pBdr>
          <w:top w:val="single" w:color="9C7A3C" w:sz="8"/>
          <w:bottom w:val="single" w:color="9C7A3C" w:sz="8"/>
        </w:pBdr>
        <w:spacing w:after="240" w:before="240"/>
        <w:jc w:val="center"/>
      </w:pPr>
      <w:r>
        <w:rPr>
          <w:rFonts w:ascii="Calibri" w:cs="Calibri" w:eastAsia="Calibri" w:hAnsi="Calibri"/>
          <w:b/>
          <w:bCs/>
          <w:color w:val="9A3318"/>
          <w:sz w:val="40"/>
          <w:szCs w:val="40"/>
        </w:rPr>
        <w:t xml:space="preserve">Vision, Mission, and Strategic Objectives of Academic Departments (Programmes)</w:t>
      </w:r>
    </w:p>
    <w:p>
      <w:pPr>
        <w:spacing w:after="1200" w:before="240"/>
        <w:jc w:val="center"/>
      </w:pPr>
      <w:r>
        <w:rPr>
          <w:rFonts w:ascii="Calibri" w:cs="Calibri" w:eastAsia="Calibri" w:hAnsi="Calibri"/>
          <w:color w:val="444444"/>
          <w:sz w:val="24"/>
          <w:szCs w:val="24"/>
        </w:rPr>
        <w:t xml:space="preserve">Aligned with the Al-Hadba University Strategic Plan (2025–2030) and the Vision, Mission, and Strategic Objectives of the Colleges</w:t>
      </w:r>
    </w:p>
    <w:p>
      <w:pPr>
        <w:spacing w:after="80"/>
        <w:jc w:val="center"/>
      </w:pPr>
      <w:r>
        <w:rPr>
          <w:rFonts w:ascii="Calibri" w:cs="Calibri" w:eastAsia="Calibri" w:hAnsi="Calibri"/>
          <w:color w:val="1F3864"/>
          <w:sz w:val="24"/>
          <w:szCs w:val="24"/>
        </w:rPr>
        <w:t xml:space="preserve">Office of the Vice President for Scientific Affairs</w:t>
      </w:r>
    </w:p>
    <w:p>
      <w:pPr>
        <w:jc w:val="center"/>
      </w:pPr>
      <w:r>
        <w:rPr>
          <w:rFonts w:ascii="Calibri" w:cs="Calibri" w:eastAsia="Calibri" w:hAnsi="Calibri"/>
          <w:color w:val="666666"/>
          <w:sz w:val="24"/>
          <w:szCs w:val="24"/>
        </w:rPr>
        <w:t xml:space="preserve">July 2026</w:t>
      </w:r>
    </w:p>
    <w:p>
      <w:r>
        <w:br w:type="page"/>
      </w:r>
    </w:p>
    <w:p>
      <w:pPr>
        <w:spacing w:after="240"/>
        <w:jc w:val="center"/>
      </w:pPr>
      <w:r>
        <w:rPr>
          <w:rFonts w:ascii="Calibri" w:cs="Calibri" w:eastAsia="Calibri" w:hAnsi="Calibri"/>
          <w:b/>
          <w:bCs/>
          <w:color w:val="1F3864"/>
          <w:sz w:val="34"/>
          <w:szCs w:val="34"/>
        </w:rPr>
        <w:t xml:space="preserve">Table of Contents</w:t>
      </w:r>
    </w:p>
    <w:tbl>
      <w:tblPr>
        <w:tblW w:type="dxa" w:w="9026"/>
        <w:tblBorders>
          <w:top w:val="none"/>
          <w:left w:val="none"/>
          <w:bottom w:val="none"/>
          <w:right w:val="none"/>
          <w:insideH w:val="none"/>
          <w:insideV w:val="none"/>
        </w:tblBorders>
      </w:tblPr>
      <w:tblGrid>
        <w:gridCol w:w="8300"/>
        <w:gridCol w:w="726"/>
      </w:tblGrid>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Introduction</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3</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1. College of Administration and Economics (CAEC)</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4</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Accounting (DACC)</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4</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Business Administration (DBAD)</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6</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Financial and Banking Sciences (DFBS)</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9</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2. College of Arts (CART)</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12</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English (DENL)</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12</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3. College of Technical Engineering (CTEN)</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15</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Computer Technology Engineering (DCTE)</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15</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Medical Equipment Technology Engineering (DMEE)</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17</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4. College of Health and Medical Techniques (CHMT)</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21</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Medical Laboratory Techniques (DMLT)</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21</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Anesthesia Techniques (DANT)</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23</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Cosmetic Techniques and Laser (DCTL)</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26</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Artificial Kidney Techniques (DAKT)</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28</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5. College of Computer Science and Mathematics (CCSM)</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32</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Computer Science (DCSC)</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32</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6. College of Engineering (CENG)</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35</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Architectural Engineering (DARE)</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35</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Civil Engineering (DCEN)</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37</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7. College of Law (CLAW)</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41</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Law Programme (CLAW)</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41</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8. College of Dentistry (CDEN)</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44</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Dentistry Programme (CDNT)</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44</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9. College of Pharmacy (CPHM)</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47</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Pharmacy Programme (CPHM)</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47</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10. College of Nursing (CNUR)</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50</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Nursing Programme (CNUR)</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50</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11. College of Physical Education and Sports Sciences (CPSS)</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53</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Physical Education and Sports Sciences Programme (CPES)</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53</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12. College of Medicine (DMED)</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56</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Medicine Programme (CMED)</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56</w:t>
            </w:r>
          </w:p>
        </w:tc>
      </w:tr>
      <w:tr>
        <w:tc>
          <w:tcPr>
            <w:tcW w:type="dxa" w:w="8300"/>
            <w:tcBorders>
              <w:top w:val="none"/>
              <w:left w:val="none"/>
              <w:bottom w:val="none"/>
              <w:right w:val="none"/>
            </w:tcBorders>
          </w:tcPr>
          <w:p>
            <w:pPr>
              <w:spacing w:after="30" w:before="30"/>
            </w:pPr>
            <w:r>
              <w:rPr>
                <w:rFonts w:ascii="Calibri" w:cs="Calibri" w:eastAsia="Calibri" w:hAnsi="Calibri"/>
                <w:b/>
                <w:bCs/>
                <w:color w:val="1F3864"/>
                <w:sz w:val="24"/>
                <w:szCs w:val="24"/>
              </w:rPr>
              <w:t xml:space="preserve">13. College of Fine Arts (CFAR)</w:t>
            </w:r>
          </w:p>
        </w:tc>
        <w:tc>
          <w:tcPr>
            <w:tcW w:type="dxa" w:w="726"/>
            <w:tcBorders>
              <w:top w:val="none"/>
              <w:left w:val="none"/>
              <w:bottom w:val="none"/>
              <w:right w:val="none"/>
            </w:tcBorders>
          </w:tcPr>
          <w:p>
            <w:pPr>
              <w:spacing w:after="30" w:before="30"/>
              <w:jc w:val="right"/>
            </w:pPr>
            <w:r>
              <w:rPr>
                <w:rFonts w:ascii="Calibri" w:cs="Calibri" w:eastAsia="Calibri" w:hAnsi="Calibri"/>
                <w:b/>
                <w:bCs/>
                <w:sz w:val="22"/>
                <w:szCs w:val="22"/>
              </w:rPr>
              <w:t xml:space="preserve">59</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Interior Design (DIND)</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59</w:t>
            </w:r>
          </w:p>
        </w:tc>
      </w:tr>
      <w:tr>
        <w:tc>
          <w:tcPr>
            <w:tcW w:type="dxa" w:w="8300"/>
            <w:tcBorders>
              <w:top w:val="none"/>
              <w:left w:val="none"/>
              <w:bottom w:val="none"/>
              <w:right w:val="none"/>
            </w:tcBorders>
          </w:tcPr>
          <w:p>
            <w:pPr>
              <w:spacing w:after="30" w:before="30"/>
              <w:ind w:left="360"/>
            </w:pPr>
            <w:r>
              <w:rPr>
                <w:rFonts w:ascii="Calibri" w:cs="Calibri" w:eastAsia="Calibri" w:hAnsi="Calibri"/>
                <w:b w:val="false"/>
                <w:bCs w:val="false"/>
                <w:color w:val="333333"/>
                <w:sz w:val="22"/>
                <w:szCs w:val="22"/>
              </w:rPr>
              <w:t xml:space="preserve">Department of Art Education (DAED)</w:t>
            </w:r>
          </w:p>
        </w:tc>
        <w:tc>
          <w:tcPr>
            <w:tcW w:type="dxa" w:w="726"/>
            <w:tcBorders>
              <w:top w:val="none"/>
              <w:left w:val="none"/>
              <w:bottom w:val="none"/>
              <w:right w:val="none"/>
            </w:tcBorders>
          </w:tcPr>
          <w:p>
            <w:pPr>
              <w:spacing w:after="30" w:before="30"/>
              <w:jc w:val="right"/>
            </w:pPr>
            <w:r>
              <w:rPr>
                <w:rFonts w:ascii="Calibri" w:cs="Calibri" w:eastAsia="Calibri" w:hAnsi="Calibri"/>
                <w:b w:val="false"/>
                <w:bCs w:val="false"/>
                <w:sz w:val="22"/>
                <w:szCs w:val="22"/>
              </w:rPr>
              <w:t xml:space="preserve">61</w:t>
            </w:r>
          </w:p>
        </w:tc>
      </w:tr>
    </w:tbl>
    <w:p>
      <w:r>
        <w:br w:type="page"/>
      </w:r>
    </w:p>
    <w:p>
      <w:pPr>
        <w:pStyle w:val="Heading1"/>
      </w:pPr>
      <w:r>
        <w:rPr>
          <w:rFonts w:ascii="Calibri" w:cs="Calibri" w:eastAsia="Calibri" w:hAnsi="Calibri"/>
        </w:rPr>
        <w:t xml:space="preserve">Introduction</w:t>
      </w:r>
    </w:p>
    <w:p>
      <w:pPr>
        <w:spacing w:after="200"/>
      </w:pPr>
      <w:r>
        <w:rPr>
          <w:rFonts w:ascii="Calibri" w:cs="Calibri" w:eastAsia="Calibri" w:hAnsi="Calibri"/>
          <w:sz w:val="24"/>
          <w:szCs w:val="24"/>
        </w:rPr>
        <w:t xml:space="preserve">This document presents the Vision, Mission, and Strategic Objectives of the academic departments (programmes) of Al-Hadba University. Each departmental statement is cascaded directly from the Vision, Mission, and Strategic Objectives of its parent college and from the seven strategic goals of the Al-Hadba University Strategic Plan (2025–2030): enhancing internal efficiency, strengthening governance, prioritizing quality and accreditation, fostering scientific research and innovation, expanding global partnerships, improving external efficiency, and promoting sustainability and innovation.</w:t>
      </w:r>
    </w:p>
    <w:p>
      <w:pPr>
        <w:spacing w:after="200"/>
      </w:pPr>
      <w:r>
        <w:rPr>
          <w:rFonts w:ascii="Calibri" w:cs="Calibri" w:eastAsia="Calibri" w:hAnsi="Calibri"/>
          <w:sz w:val="24"/>
          <w:szCs w:val="24"/>
        </w:rPr>
        <w:t xml:space="preserve">In this way, every programme contributes measurably to the university-wide framework, ensuring vertical alignment (University → College → Department) as required by MoHESR guidelines, the Bologna Process, and international quality assurance and accreditation standards.</w:t>
      </w:r>
    </w:p>
    <w:p>
      <w:pPr>
        <w:spacing w:after="200"/>
      </w:pPr>
      <w:r>
        <w:rPr>
          <w:rFonts w:ascii="Calibri" w:cs="Calibri" w:eastAsia="Calibri" w:hAnsi="Calibri"/>
          <w:sz w:val="24"/>
          <w:szCs w:val="24"/>
        </w:rPr>
        <w:t xml:space="preserve">In line with MoHESR's national directions and the UN Sustainable Development Goals, all programmes have integrated green education, sustainability, and artificial intelligence across their strategic objectives and learning outcomes — preparing graduates who combine disciplinary excellence with green skills and responsible use of intelligent technologies.</w:t>
      </w:r>
    </w:p>
    <w:p>
      <w:r>
        <w:br w:type="page"/>
      </w:r>
    </w:p>
    <w:p>
      <w:pPr>
        <w:pStyle w:val="Heading1"/>
      </w:pPr>
      <w:r>
        <w:rPr>
          <w:rFonts w:ascii="Calibri" w:cs="Calibri" w:eastAsia="Calibri" w:hAnsi="Calibri"/>
        </w:rPr>
        <w:t xml:space="preserve">1. College of Administration and Economics (CAEC)</w:t>
      </w:r>
    </w:p>
    <w:p>
      <w:pPr>
        <w:pStyle w:val="Heading2"/>
        <w:spacing w:before="240"/>
      </w:pPr>
      <w:r>
        <w:rPr>
          <w:rFonts w:ascii="Calibri" w:cs="Calibri" w:eastAsia="Calibri" w:hAnsi="Calibri"/>
        </w:rPr>
        <w:t xml:space="preserve">Department of Accounting (DACC)</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Accounting programme as offered by Al-Hadba University under the supervision of the Ministry of Higher Education and Scientific Research (MoHESR). The programme leads to the award of Bachelor of Science (B.Sc.) in Accounting after 4 academic years of full-time study, and is delivered through the Bologna Process, with a two-semester structure, 240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Administration and Economics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Accounting</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DACC</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AHU11100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Accounting</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240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Arabic and 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accounting education and applied financial research, recognized for producing ethical, technologically proficient, and professionally certified accountants who promote financial transparency, sound governance, and sustainable economic growth in Iraq and beyond.</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Accounting at AHU is committed to:</w:t>
      </w:r>
    </w:p>
    <w:p>
      <w:pPr>
        <w:pStyle w:val="ListParagraph"/>
        <w:numPr>
          <w:ilvl w:val="0"/>
          <w:numId w:val="2"/>
        </w:numPr>
        <w:spacing w:after="40"/>
      </w:pPr>
      <w:r>
        <w:rPr>
          <w:rFonts w:ascii="Calibri" w:cs="Calibri" w:eastAsia="Calibri" w:hAnsi="Calibri"/>
          <w:sz w:val="24"/>
          <w:szCs w:val="24"/>
        </w:rPr>
        <w:t xml:space="preserve">Delivering high-quality accounting education that integrates theory with professional practice.</w:t>
      </w:r>
    </w:p>
    <w:p>
      <w:pPr>
        <w:pStyle w:val="ListParagraph"/>
        <w:numPr>
          <w:ilvl w:val="0"/>
          <w:numId w:val="2"/>
        </w:numPr>
        <w:spacing w:after="40"/>
      </w:pPr>
      <w:r>
        <w:rPr>
          <w:rFonts w:ascii="Calibri" w:cs="Calibri" w:eastAsia="Calibri" w:hAnsi="Calibri"/>
          <w:sz w:val="24"/>
          <w:szCs w:val="24"/>
        </w:rPr>
        <w:t xml:space="preserve">Preparing ethical, competent accountants proficient in international standards and digital accounting technologies.</w:t>
      </w:r>
    </w:p>
    <w:p>
      <w:pPr>
        <w:pStyle w:val="ListParagraph"/>
        <w:numPr>
          <w:ilvl w:val="0"/>
          <w:numId w:val="2"/>
        </w:numPr>
        <w:spacing w:after="40"/>
      </w:pPr>
      <w:r>
        <w:rPr>
          <w:rFonts w:ascii="Calibri" w:cs="Calibri" w:eastAsia="Calibri" w:hAnsi="Calibri"/>
          <w:sz w:val="24"/>
          <w:szCs w:val="24"/>
        </w:rPr>
        <w:t xml:space="preserve">Advancing applied research in accounting, auditing, and taxation that supports transparency and economic development.</w:t>
      </w:r>
    </w:p>
    <w:p>
      <w:pPr>
        <w:pStyle w:val="ListParagraph"/>
        <w:numPr>
          <w:ilvl w:val="0"/>
          <w:numId w:val="2"/>
        </w:numPr>
        <w:spacing w:after="40"/>
      </w:pPr>
      <w:r>
        <w:rPr>
          <w:rFonts w:ascii="Calibri" w:cs="Calibri" w:eastAsia="Calibri" w:hAnsi="Calibri"/>
          <w:sz w:val="24"/>
          <w:szCs w:val="24"/>
        </w:rPr>
        <w:t xml:space="preserve">Serving the community through financial literacy initiatives and professional consultancy services.</w:t>
      </w:r>
    </w:p>
    <w:p>
      <w:pPr>
        <w:pStyle w:val="ListParagraph"/>
        <w:numPr>
          <w:ilvl w:val="0"/>
          <w:numId w:val="2"/>
        </w:numPr>
        <w:spacing w:after="40"/>
      </w:pPr>
      <w:r>
        <w:rPr>
          <w:rFonts w:ascii="Calibri" w:cs="Calibri" w:eastAsia="Calibri" w:hAnsi="Calibri"/>
          <w:sz w:val="24"/>
          <w:szCs w:val="24"/>
        </w:rPr>
        <w:t xml:space="preserve">Strengthening partnerships with professional bodies and the financial sector to enhance student training and employability.</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Development</w:t>
      </w:r>
    </w:p>
    <w:p>
      <w:pPr>
        <w:pStyle w:val="ListParagraph"/>
        <w:numPr>
          <w:ilvl w:val="0"/>
          <w:numId w:val="2"/>
        </w:numPr>
        <w:spacing w:after="40"/>
      </w:pPr>
      <w:r>
        <w:rPr>
          <w:rFonts w:ascii="Calibri" w:cs="Calibri" w:eastAsia="Calibri" w:hAnsi="Calibri"/>
          <w:sz w:val="24"/>
          <w:szCs w:val="24"/>
        </w:rPr>
        <w:t xml:space="preserve">Modernize the accounting curriculum in line with International Financial Reporting Standards (IFRS) and International Standards on Auditing (ISA).</w:t>
      </w:r>
    </w:p>
    <w:p>
      <w:pPr>
        <w:pStyle w:val="ListParagraph"/>
        <w:numPr>
          <w:ilvl w:val="0"/>
          <w:numId w:val="2"/>
        </w:numPr>
        <w:spacing w:after="40"/>
      </w:pPr>
      <w:r>
        <w:rPr>
          <w:rFonts w:ascii="Calibri" w:cs="Calibri" w:eastAsia="Calibri" w:hAnsi="Calibri"/>
          <w:sz w:val="24"/>
          <w:szCs w:val="24"/>
        </w:rPr>
        <w:t xml:space="preserve">Integrate digital accounting tools, ERP systems, and computerized accounting applications into coursework.</w:t>
      </w:r>
    </w:p>
    <w:p>
      <w:pPr>
        <w:pStyle w:val="ListParagraph"/>
        <w:numPr>
          <w:ilvl w:val="0"/>
          <w:numId w:val="2"/>
        </w:numPr>
        <w:spacing w:after="40"/>
      </w:pPr>
      <w:r>
        <w:rPr>
          <w:rFonts w:ascii="Calibri" w:cs="Calibri" w:eastAsia="Calibri" w:hAnsi="Calibri"/>
          <w:sz w:val="24"/>
          <w:szCs w:val="24"/>
        </w:rPr>
        <w:t xml:space="preserve">Regularly review and update course content to align with MoHESR requirements, the Bologna Process, and international accounting education standards.</w:t>
      </w:r>
    </w:p>
    <w:p>
      <w:pPr>
        <w:spacing w:after="40" w:before="120"/>
      </w:pPr>
      <w:r>
        <w:rPr>
          <w:rFonts w:ascii="Calibri" w:cs="Calibri" w:eastAsia="Calibri" w:hAnsi="Calibri"/>
          <w:b/>
          <w:bCs/>
          <w:color w:val="9A3318"/>
          <w:sz w:val="24"/>
          <w:szCs w:val="24"/>
        </w:rPr>
        <w:t xml:space="preserve">✅ 2. Research and Innovation</w:t>
      </w:r>
    </w:p>
    <w:p>
      <w:pPr>
        <w:pStyle w:val="ListParagraph"/>
        <w:numPr>
          <w:ilvl w:val="0"/>
          <w:numId w:val="2"/>
        </w:numPr>
        <w:spacing w:after="40"/>
      </w:pPr>
      <w:r>
        <w:rPr>
          <w:rFonts w:ascii="Calibri" w:cs="Calibri" w:eastAsia="Calibri" w:hAnsi="Calibri"/>
          <w:sz w:val="24"/>
          <w:szCs w:val="24"/>
        </w:rPr>
        <w:t xml:space="preserve">Promote applied research in financial reporting, auditing, taxation, and corporate governance relevant to the Iraqi economy.</w:t>
      </w:r>
    </w:p>
    <w:p>
      <w:pPr>
        <w:pStyle w:val="ListParagraph"/>
        <w:numPr>
          <w:ilvl w:val="0"/>
          <w:numId w:val="2"/>
        </w:numPr>
        <w:spacing w:after="40"/>
      </w:pPr>
      <w:r>
        <w:rPr>
          <w:rFonts w:ascii="Calibri" w:cs="Calibri" w:eastAsia="Calibri" w:hAnsi="Calibri"/>
          <w:sz w:val="24"/>
          <w:szCs w:val="24"/>
        </w:rPr>
        <w:t xml:space="preserve">Support faculty and student-led research projects addressing transparency, public finance, and economic recovery.</w:t>
      </w:r>
    </w:p>
    <w:p>
      <w:pPr>
        <w:pStyle w:val="ListParagraph"/>
        <w:numPr>
          <w:ilvl w:val="0"/>
          <w:numId w:val="2"/>
        </w:numPr>
        <w:spacing w:after="40"/>
      </w:pPr>
      <w:r>
        <w:rPr>
          <w:rFonts w:ascii="Calibri" w:cs="Calibri" w:eastAsia="Calibri" w:hAnsi="Calibri"/>
          <w:sz w:val="24"/>
          <w:szCs w:val="24"/>
        </w:rPr>
        <w:t xml:space="preserve">Encourage publication in reputable national and international accounting and finance journals.</w:t>
      </w:r>
    </w:p>
    <w:p>
      <w:pPr>
        <w:spacing w:after="40" w:before="120"/>
      </w:pPr>
      <w:r>
        <w:rPr>
          <w:rFonts w:ascii="Calibri" w:cs="Calibri" w:eastAsia="Calibri" w:hAnsi="Calibri"/>
          <w:b/>
          <w:bCs/>
          <w:color w:val="9A3318"/>
          <w:sz w:val="24"/>
          <w:szCs w:val="24"/>
        </w:rPr>
        <w:t xml:space="preserve">✅ 3. Industry and Community Partnerships</w:t>
      </w:r>
    </w:p>
    <w:p>
      <w:pPr>
        <w:pStyle w:val="ListParagraph"/>
        <w:numPr>
          <w:ilvl w:val="0"/>
          <w:numId w:val="2"/>
        </w:numPr>
        <w:spacing w:after="40"/>
      </w:pPr>
      <w:r>
        <w:rPr>
          <w:rFonts w:ascii="Calibri" w:cs="Calibri" w:eastAsia="Calibri" w:hAnsi="Calibri"/>
          <w:sz w:val="24"/>
          <w:szCs w:val="24"/>
        </w:rPr>
        <w:t xml:space="preserve">Strengthen collaboration with audit firms, banks, tax authorities, and professional accounting bodies.</w:t>
      </w:r>
    </w:p>
    <w:p>
      <w:pPr>
        <w:pStyle w:val="ListParagraph"/>
        <w:numPr>
          <w:ilvl w:val="0"/>
          <w:numId w:val="2"/>
        </w:numPr>
        <w:spacing w:after="40"/>
      </w:pPr>
      <w:r>
        <w:rPr>
          <w:rFonts w:ascii="Calibri" w:cs="Calibri" w:eastAsia="Calibri" w:hAnsi="Calibri"/>
          <w:sz w:val="24"/>
          <w:szCs w:val="24"/>
        </w:rPr>
        <w:t xml:space="preserve">Develop industry-relevant internships and cooperative training programs for students.</w:t>
      </w:r>
    </w:p>
    <w:p>
      <w:pPr>
        <w:pStyle w:val="ListParagraph"/>
        <w:numPr>
          <w:ilvl w:val="0"/>
          <w:numId w:val="2"/>
        </w:numPr>
        <w:spacing w:after="40"/>
      </w:pPr>
      <w:r>
        <w:rPr>
          <w:rFonts w:ascii="Calibri" w:cs="Calibri" w:eastAsia="Calibri" w:hAnsi="Calibri"/>
          <w:sz w:val="24"/>
          <w:szCs w:val="24"/>
        </w:rPr>
        <w:t xml:space="preserve">Provide community services in financial literacy, bookkeeping, and small-business accounting support.</w:t>
      </w:r>
    </w:p>
    <w:p>
      <w:pPr>
        <w:spacing w:after="40" w:before="120"/>
      </w:pPr>
      <w:r>
        <w:rPr>
          <w:rFonts w:ascii="Calibri" w:cs="Calibri" w:eastAsia="Calibri" w:hAnsi="Calibri"/>
          <w:b/>
          <w:bCs/>
          <w:color w:val="9A3318"/>
          <w:sz w:val="24"/>
          <w:szCs w:val="24"/>
        </w:rPr>
        <w:t xml:space="preserve">✅ 4. Student Success and Employability</w:t>
      </w:r>
    </w:p>
    <w:p>
      <w:pPr>
        <w:pStyle w:val="ListParagraph"/>
        <w:numPr>
          <w:ilvl w:val="0"/>
          <w:numId w:val="2"/>
        </w:numPr>
        <w:spacing w:after="40"/>
      </w:pPr>
      <w:r>
        <w:rPr>
          <w:rFonts w:ascii="Calibri" w:cs="Calibri" w:eastAsia="Calibri" w:hAnsi="Calibri"/>
          <w:sz w:val="24"/>
          <w:szCs w:val="24"/>
        </w:rPr>
        <w:t xml:space="preserve">Prepare students for professional certification pathways and national qualification examinations.</w:t>
      </w:r>
    </w:p>
    <w:p>
      <w:pPr>
        <w:pStyle w:val="ListParagraph"/>
        <w:numPr>
          <w:ilvl w:val="0"/>
          <w:numId w:val="2"/>
        </w:numPr>
        <w:spacing w:after="40"/>
      </w:pPr>
      <w:r>
        <w:rPr>
          <w:rFonts w:ascii="Calibri" w:cs="Calibri" w:eastAsia="Calibri" w:hAnsi="Calibri"/>
          <w:sz w:val="24"/>
          <w:szCs w:val="24"/>
        </w:rPr>
        <w:t xml:space="preserve">Expand career services with mentoring, coaching, and job placement support in the financial sector.</w:t>
      </w:r>
    </w:p>
    <w:p>
      <w:pPr>
        <w:pStyle w:val="ListParagraph"/>
        <w:numPr>
          <w:ilvl w:val="0"/>
          <w:numId w:val="2"/>
        </w:numPr>
        <w:spacing w:after="40"/>
      </w:pPr>
      <w:r>
        <w:rPr>
          <w:rFonts w:ascii="Calibri" w:cs="Calibri" w:eastAsia="Calibri" w:hAnsi="Calibri"/>
          <w:sz w:val="24"/>
          <w:szCs w:val="24"/>
        </w:rPr>
        <w:t xml:space="preserve">Foster alumni networks to support career growth, mentorship, and professional development.</w:t>
      </w:r>
    </w:p>
    <w:p>
      <w:pPr>
        <w:spacing w:after="40" w:before="120"/>
      </w:pPr>
      <w:r>
        <w:rPr>
          <w:rFonts w:ascii="Calibri" w:cs="Calibri" w:eastAsia="Calibri" w:hAnsi="Calibri"/>
          <w:b/>
          <w:bCs/>
          <w:color w:val="9A3318"/>
          <w:sz w:val="24"/>
          <w:szCs w:val="24"/>
        </w:rPr>
        <w:t xml:space="preserve">✅ 5. Digital Transformation</w:t>
      </w:r>
    </w:p>
    <w:p>
      <w:pPr>
        <w:pStyle w:val="ListParagraph"/>
        <w:numPr>
          <w:ilvl w:val="0"/>
          <w:numId w:val="2"/>
        </w:numPr>
        <w:spacing w:after="40"/>
      </w:pPr>
      <w:r>
        <w:rPr>
          <w:rFonts w:ascii="Calibri" w:cs="Calibri" w:eastAsia="Calibri" w:hAnsi="Calibri"/>
          <w:sz w:val="24"/>
          <w:szCs w:val="24"/>
        </w:rPr>
        <w:t xml:space="preserve">Integrate accounting information systems, data analytics, and audit software into learning processes.</w:t>
      </w:r>
    </w:p>
    <w:p>
      <w:pPr>
        <w:pStyle w:val="ListParagraph"/>
        <w:numPr>
          <w:ilvl w:val="0"/>
          <w:numId w:val="2"/>
        </w:numPr>
        <w:spacing w:after="40"/>
      </w:pPr>
      <w:r>
        <w:rPr>
          <w:rFonts w:ascii="Calibri" w:cs="Calibri" w:eastAsia="Calibri" w:hAnsi="Calibri"/>
          <w:sz w:val="24"/>
          <w:szCs w:val="24"/>
        </w:rPr>
        <w:t xml:space="preserve">Utilize data analytics to enhance student performance monitoring and programme effectiveness.</w:t>
      </w:r>
    </w:p>
    <w:p>
      <w:pPr>
        <w:pStyle w:val="ListParagraph"/>
        <w:numPr>
          <w:ilvl w:val="0"/>
          <w:numId w:val="2"/>
        </w:numPr>
        <w:spacing w:after="40"/>
      </w:pPr>
      <w:r>
        <w:rPr>
          <w:rFonts w:ascii="Calibri" w:cs="Calibri" w:eastAsia="Calibri" w:hAnsi="Calibri"/>
          <w:sz w:val="24"/>
          <w:szCs w:val="24"/>
        </w:rPr>
        <w:t xml:space="preserve">Offer blended and online learning options to increase accessibility and flexibility.</w:t>
      </w:r>
    </w:p>
    <w:p>
      <w:pPr>
        <w:spacing w:after="40" w:before="120"/>
      </w:pPr>
      <w:r>
        <w:rPr>
          <w:rFonts w:ascii="Calibri" w:cs="Calibri" w:eastAsia="Calibri" w:hAnsi="Calibri"/>
          <w:b/>
          <w:bCs/>
          <w:color w:val="9A3318"/>
          <w:sz w:val="24"/>
          <w:szCs w:val="24"/>
        </w:rPr>
        <w:t xml:space="preserve">✅ 6.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green accounting, ESG reporting, and sustainability disclosure into the curriculum.</w:t>
      </w:r>
    </w:p>
    <w:p>
      <w:pPr>
        <w:pStyle w:val="ListParagraph"/>
        <w:numPr>
          <w:ilvl w:val="0"/>
          <w:numId w:val="2"/>
        </w:numPr>
        <w:spacing w:after="40"/>
      </w:pPr>
      <w:r>
        <w:rPr>
          <w:rFonts w:ascii="Calibri" w:cs="Calibri" w:eastAsia="Calibri" w:hAnsi="Calibri"/>
          <w:sz w:val="24"/>
          <w:szCs w:val="24"/>
        </w:rPr>
        <w:t xml:space="preserve">Embed AI-supported accounting, auditing, and analytics tools in teaching and training.</w:t>
      </w:r>
    </w:p>
    <w:p>
      <w:pPr>
        <w:pStyle w:val="ListParagraph"/>
        <w:numPr>
          <w:ilvl w:val="0"/>
          <w:numId w:val="2"/>
        </w:numPr>
        <w:spacing w:after="40"/>
      </w:pPr>
      <w:r>
        <w:rPr>
          <w:rFonts w:ascii="Calibri" w:cs="Calibri" w:eastAsia="Calibri" w:hAnsi="Calibri"/>
          <w:sz w:val="24"/>
          <w:szCs w:val="24"/>
        </w:rPr>
        <w:t xml:space="preserve">Promote paperless, energy-aware practices and SDG awareness across programme activities.</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Accounting programme define the knowledge, skills, and competences that every graduate is expected to demonstrate upon completion of the programme. Formulated according to the outcome-based approach of the Bologna Process and the Iraq National Qualifications Framework, they respond directly to the needs of Iraq's financial and regulatory environment and to the role of transparent accounting practice in the economic recovery of Mosul.</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international accounting and auditing standards (IFRS/ISA) to prepare, analyze, and audit financial statements for Iraqi public and private sector organizations.</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Use computerized accounting systems, ERP applications, and data analytics tools to process financial information and support decision-making in Iraq's evolving business environment.</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Evaluate taxation, budgeting, and corporate governance practices in accordance with Iraqi laws and regulations.</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Demonstrate professional ethics, transparency, and integrity in financial practice, supporting anti-corruption efforts and the economic recovery of Mosul and Iraq.</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Communicate financial information effectively in Arabic and English to diverse stakeholders and work collaboratively within professional teams.</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and machine-learning tools in accounting, auditing, and fraud detection.</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sustainability accounting, ESG reporting, and green finance concepts in organizational practice.</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large financial datasets using data analytics to support sustainable business decisions.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Develop innovative accounting solutions that support the green transition of Iraqi enterprises.</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green citizenship and contribute to the Sustainable Development Goals (SDGs) through transparent, responsible financial practice.</w:t>
      </w:r>
    </w:p>
    <w:p>
      <w:pPr>
        <w:pStyle w:val="Heading2"/>
        <w:spacing w:before="240"/>
      </w:pPr>
      <w:r>
        <w:rPr>
          <w:rFonts w:ascii="Calibri" w:cs="Calibri" w:eastAsia="Calibri" w:hAnsi="Calibri"/>
        </w:rPr>
        <w:t xml:space="preserve">Department of Business Administration (DBAD)</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Business Administration programme as offered by Al-Hadba University under the supervision of the Ministry of Higher Education and Scientific Research (MoHESR). The programme leads to the award of Bachelor of Science (B.Sc.) in Business Administration after 4 academic years of full-time study, and is delivered through the Bologna Process, with a two-semester structure, 240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Administration and Economics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Business Administration</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DBAD</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AHU11200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Business Administration</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240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Arabic and 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management education and entrepreneurship, recognized for producing innovative, ethical, and globally minded business leaders who drive organizational excellence, sustainable enterprise growth, and Iraq's economic development.</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Business Administration at AHU is committed to:</w:t>
      </w:r>
    </w:p>
    <w:p>
      <w:pPr>
        <w:pStyle w:val="ListParagraph"/>
        <w:numPr>
          <w:ilvl w:val="0"/>
          <w:numId w:val="2"/>
        </w:numPr>
        <w:spacing w:after="40"/>
      </w:pPr>
      <w:r>
        <w:rPr>
          <w:rFonts w:ascii="Calibri" w:cs="Calibri" w:eastAsia="Calibri" w:hAnsi="Calibri"/>
          <w:sz w:val="24"/>
          <w:szCs w:val="24"/>
        </w:rPr>
        <w:t xml:space="preserve">Delivering high-quality management education that integrates theory with practice.</w:t>
      </w:r>
    </w:p>
    <w:p>
      <w:pPr>
        <w:pStyle w:val="ListParagraph"/>
        <w:numPr>
          <w:ilvl w:val="0"/>
          <w:numId w:val="2"/>
        </w:numPr>
        <w:spacing w:after="40"/>
      </w:pPr>
      <w:r>
        <w:rPr>
          <w:rFonts w:ascii="Calibri" w:cs="Calibri" w:eastAsia="Calibri" w:hAnsi="Calibri"/>
          <w:sz w:val="24"/>
          <w:szCs w:val="24"/>
        </w:rPr>
        <w:t xml:space="preserve">Developing skilled, ethical business leaders and entrepreneurs ready for local and international markets.</w:t>
      </w:r>
    </w:p>
    <w:p>
      <w:pPr>
        <w:pStyle w:val="ListParagraph"/>
        <w:numPr>
          <w:ilvl w:val="0"/>
          <w:numId w:val="2"/>
        </w:numPr>
        <w:spacing w:after="40"/>
      </w:pPr>
      <w:r>
        <w:rPr>
          <w:rFonts w:ascii="Calibri" w:cs="Calibri" w:eastAsia="Calibri" w:hAnsi="Calibri"/>
          <w:sz w:val="24"/>
          <w:szCs w:val="24"/>
        </w:rPr>
        <w:t xml:space="preserve">Advancing applied research in management, entrepreneurship, and organizational development.</w:t>
      </w:r>
    </w:p>
    <w:p>
      <w:pPr>
        <w:pStyle w:val="ListParagraph"/>
        <w:numPr>
          <w:ilvl w:val="0"/>
          <w:numId w:val="2"/>
        </w:numPr>
        <w:spacing w:after="40"/>
      </w:pPr>
      <w:r>
        <w:rPr>
          <w:rFonts w:ascii="Calibri" w:cs="Calibri" w:eastAsia="Calibri" w:hAnsi="Calibri"/>
          <w:sz w:val="24"/>
          <w:szCs w:val="24"/>
        </w:rPr>
        <w:t xml:space="preserve">Serving the community through business consultancy, start-up incubation, and entrepreneurship training.</w:t>
      </w:r>
    </w:p>
    <w:p>
      <w:pPr>
        <w:pStyle w:val="ListParagraph"/>
        <w:numPr>
          <w:ilvl w:val="0"/>
          <w:numId w:val="2"/>
        </w:numPr>
        <w:spacing w:after="40"/>
      </w:pPr>
      <w:r>
        <w:rPr>
          <w:rFonts w:ascii="Calibri" w:cs="Calibri" w:eastAsia="Calibri" w:hAnsi="Calibri"/>
          <w:sz w:val="24"/>
          <w:szCs w:val="24"/>
        </w:rPr>
        <w:t xml:space="preserve">Strengthening industry partnerships to enhance internships, training, and career opportunities.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Development</w:t>
      </w:r>
    </w:p>
    <w:p>
      <w:pPr>
        <w:pStyle w:val="ListParagraph"/>
        <w:numPr>
          <w:ilvl w:val="0"/>
          <w:numId w:val="2"/>
        </w:numPr>
        <w:spacing w:after="40"/>
      </w:pPr>
      <w:r>
        <w:rPr>
          <w:rFonts w:ascii="Calibri" w:cs="Calibri" w:eastAsia="Calibri" w:hAnsi="Calibri"/>
          <w:sz w:val="24"/>
          <w:szCs w:val="24"/>
        </w:rPr>
        <w:t xml:space="preserve">Modernize management programmes covering strategy, marketing, human resources, and operations to meet evolving market demands.</w:t>
      </w:r>
    </w:p>
    <w:p>
      <w:pPr>
        <w:pStyle w:val="ListParagraph"/>
        <w:numPr>
          <w:ilvl w:val="0"/>
          <w:numId w:val="2"/>
        </w:numPr>
        <w:spacing w:after="40"/>
      </w:pPr>
      <w:r>
        <w:rPr>
          <w:rFonts w:ascii="Calibri" w:cs="Calibri" w:eastAsia="Calibri" w:hAnsi="Calibri"/>
          <w:sz w:val="24"/>
          <w:szCs w:val="24"/>
        </w:rPr>
        <w:t xml:space="preserve">Incorporate entrepreneurship, sustainability practices, and global business trends into the curriculum.</w:t>
      </w:r>
    </w:p>
    <w:p>
      <w:pPr>
        <w:pStyle w:val="ListParagraph"/>
        <w:numPr>
          <w:ilvl w:val="0"/>
          <w:numId w:val="2"/>
        </w:numPr>
        <w:spacing w:after="40"/>
      </w:pPr>
      <w:r>
        <w:rPr>
          <w:rFonts w:ascii="Calibri" w:cs="Calibri" w:eastAsia="Calibri" w:hAnsi="Calibri"/>
          <w:sz w:val="24"/>
          <w:szCs w:val="24"/>
        </w:rPr>
        <w:t xml:space="preserve">Regularly review and update course content to align with international business education standards and MoHESR guidelines.</w:t>
      </w:r>
    </w:p>
    <w:p>
      <w:pPr>
        <w:spacing w:after="40" w:before="120"/>
      </w:pPr>
      <w:r>
        <w:rPr>
          <w:rFonts w:ascii="Calibri" w:cs="Calibri" w:eastAsia="Calibri" w:hAnsi="Calibri"/>
          <w:b/>
          <w:bCs/>
          <w:color w:val="9A3318"/>
          <w:sz w:val="24"/>
          <w:szCs w:val="24"/>
        </w:rPr>
        <w:t xml:space="preserve">✅ 2. Research and Innovation</w:t>
      </w:r>
    </w:p>
    <w:p>
      <w:pPr>
        <w:pStyle w:val="ListParagraph"/>
        <w:numPr>
          <w:ilvl w:val="0"/>
          <w:numId w:val="2"/>
        </w:numPr>
        <w:spacing w:after="40"/>
      </w:pPr>
      <w:r>
        <w:rPr>
          <w:rFonts w:ascii="Calibri" w:cs="Calibri" w:eastAsia="Calibri" w:hAnsi="Calibri"/>
          <w:sz w:val="24"/>
          <w:szCs w:val="24"/>
        </w:rPr>
        <w:t xml:space="preserve">Promote applied research in management, entrepreneurship, and SME development addressing local and global business challenges.</w:t>
      </w:r>
    </w:p>
    <w:p>
      <w:pPr>
        <w:pStyle w:val="ListParagraph"/>
        <w:numPr>
          <w:ilvl w:val="0"/>
          <w:numId w:val="2"/>
        </w:numPr>
        <w:spacing w:after="40"/>
      </w:pPr>
      <w:r>
        <w:rPr>
          <w:rFonts w:ascii="Calibri" w:cs="Calibri" w:eastAsia="Calibri" w:hAnsi="Calibri"/>
          <w:sz w:val="24"/>
          <w:szCs w:val="24"/>
        </w:rPr>
        <w:t xml:space="preserve">Support faculty and student-led research initiatives on organizational performance and market development in Iraq.</w:t>
      </w:r>
    </w:p>
    <w:p>
      <w:pPr>
        <w:pStyle w:val="ListParagraph"/>
        <w:numPr>
          <w:ilvl w:val="0"/>
          <w:numId w:val="2"/>
        </w:numPr>
        <w:spacing w:after="40"/>
      </w:pPr>
      <w:r>
        <w:rPr>
          <w:rFonts w:ascii="Calibri" w:cs="Calibri" w:eastAsia="Calibri" w:hAnsi="Calibri"/>
          <w:sz w:val="24"/>
          <w:szCs w:val="24"/>
        </w:rPr>
        <w:t xml:space="preserve">Encourage publication in reputable management and business journals.</w:t>
      </w:r>
    </w:p>
    <w:p>
      <w:pPr>
        <w:spacing w:after="40" w:before="120"/>
      </w:pPr>
      <w:r>
        <w:rPr>
          <w:rFonts w:ascii="Calibri" w:cs="Calibri" w:eastAsia="Calibri" w:hAnsi="Calibri"/>
          <w:b/>
          <w:bCs/>
          <w:color w:val="9A3318"/>
          <w:sz w:val="24"/>
          <w:szCs w:val="24"/>
        </w:rPr>
        <w:t xml:space="preserve">✅ 3. Industry and Community Partnerships</w:t>
      </w:r>
    </w:p>
    <w:p>
      <w:pPr>
        <w:pStyle w:val="ListParagraph"/>
        <w:numPr>
          <w:ilvl w:val="0"/>
          <w:numId w:val="2"/>
        </w:numPr>
        <w:spacing w:after="40"/>
      </w:pPr>
      <w:r>
        <w:rPr>
          <w:rFonts w:ascii="Calibri" w:cs="Calibri" w:eastAsia="Calibri" w:hAnsi="Calibri"/>
          <w:sz w:val="24"/>
          <w:szCs w:val="24"/>
        </w:rPr>
        <w:t xml:space="preserve">Strengthen collaboration with local and international companies, chambers of commerce, and entrepreneurial ecosystems.</w:t>
      </w:r>
    </w:p>
    <w:p>
      <w:pPr>
        <w:pStyle w:val="ListParagraph"/>
        <w:numPr>
          <w:ilvl w:val="0"/>
          <w:numId w:val="2"/>
        </w:numPr>
        <w:spacing w:after="40"/>
      </w:pPr>
      <w:r>
        <w:rPr>
          <w:rFonts w:ascii="Calibri" w:cs="Calibri" w:eastAsia="Calibri" w:hAnsi="Calibri"/>
          <w:sz w:val="24"/>
          <w:szCs w:val="24"/>
        </w:rPr>
        <w:t xml:space="preserve">Develop industry-relevant internships and cooperative education programmes.</w:t>
      </w:r>
    </w:p>
    <w:p>
      <w:pPr>
        <w:pStyle w:val="ListParagraph"/>
        <w:numPr>
          <w:ilvl w:val="0"/>
          <w:numId w:val="2"/>
        </w:numPr>
        <w:spacing w:after="40"/>
      </w:pPr>
      <w:r>
        <w:rPr>
          <w:rFonts w:ascii="Calibri" w:cs="Calibri" w:eastAsia="Calibri" w:hAnsi="Calibri"/>
          <w:sz w:val="24"/>
          <w:szCs w:val="24"/>
        </w:rPr>
        <w:t xml:space="preserve">Enhance community outreach through business consultancy, start-up incubation, and entrepreneurship training.</w:t>
      </w:r>
    </w:p>
    <w:p>
      <w:pPr>
        <w:spacing w:after="40" w:before="120"/>
      </w:pPr>
      <w:r>
        <w:rPr>
          <w:rFonts w:ascii="Calibri" w:cs="Calibri" w:eastAsia="Calibri" w:hAnsi="Calibri"/>
          <w:b/>
          <w:bCs/>
          <w:color w:val="9A3318"/>
          <w:sz w:val="24"/>
          <w:szCs w:val="24"/>
        </w:rPr>
        <w:t xml:space="preserve">✅ 4. Student Success and Employability</w:t>
      </w:r>
    </w:p>
    <w:p>
      <w:pPr>
        <w:pStyle w:val="ListParagraph"/>
        <w:numPr>
          <w:ilvl w:val="0"/>
          <w:numId w:val="2"/>
        </w:numPr>
        <w:spacing w:after="40"/>
      </w:pPr>
      <w:r>
        <w:rPr>
          <w:rFonts w:ascii="Calibri" w:cs="Calibri" w:eastAsia="Calibri" w:hAnsi="Calibri"/>
          <w:sz w:val="24"/>
          <w:szCs w:val="24"/>
        </w:rPr>
        <w:t xml:space="preserve">Expand career services, offering mentoring, leadership coaching, and job placement support.</w:t>
      </w:r>
    </w:p>
    <w:p>
      <w:pPr>
        <w:pStyle w:val="ListParagraph"/>
        <w:numPr>
          <w:ilvl w:val="0"/>
          <w:numId w:val="2"/>
        </w:numPr>
        <w:spacing w:after="40"/>
      </w:pPr>
      <w:r>
        <w:rPr>
          <w:rFonts w:ascii="Calibri" w:cs="Calibri" w:eastAsia="Calibri" w:hAnsi="Calibri"/>
          <w:sz w:val="24"/>
          <w:szCs w:val="24"/>
        </w:rPr>
        <w:t xml:space="preserve">Develop workshops and certification programmes in project management, digital marketing, and business analysis.</w:t>
      </w:r>
    </w:p>
    <w:p>
      <w:pPr>
        <w:pStyle w:val="ListParagraph"/>
        <w:numPr>
          <w:ilvl w:val="0"/>
          <w:numId w:val="2"/>
        </w:numPr>
        <w:spacing w:after="40"/>
      </w:pPr>
      <w:r>
        <w:rPr>
          <w:rFonts w:ascii="Calibri" w:cs="Calibri" w:eastAsia="Calibri" w:hAnsi="Calibri"/>
          <w:sz w:val="24"/>
          <w:szCs w:val="24"/>
        </w:rPr>
        <w:t xml:space="preserve">Foster alumni networks to support career growth and professional mentorship.</w:t>
      </w:r>
    </w:p>
    <w:p>
      <w:pPr>
        <w:spacing w:after="40" w:before="120"/>
      </w:pPr>
      <w:r>
        <w:rPr>
          <w:rFonts w:ascii="Calibri" w:cs="Calibri" w:eastAsia="Calibri" w:hAnsi="Calibri"/>
          <w:b/>
          <w:bCs/>
          <w:color w:val="9A3318"/>
          <w:sz w:val="24"/>
          <w:szCs w:val="24"/>
        </w:rPr>
        <w:t xml:space="preserve">✅ 5. Digital Transformation</w:t>
      </w:r>
    </w:p>
    <w:p>
      <w:pPr>
        <w:pStyle w:val="ListParagraph"/>
        <w:numPr>
          <w:ilvl w:val="0"/>
          <w:numId w:val="2"/>
        </w:numPr>
        <w:spacing w:after="40"/>
      </w:pPr>
      <w:r>
        <w:rPr>
          <w:rFonts w:ascii="Calibri" w:cs="Calibri" w:eastAsia="Calibri" w:hAnsi="Calibri"/>
          <w:sz w:val="24"/>
          <w:szCs w:val="24"/>
        </w:rPr>
        <w:t xml:space="preserve">Integrate e-business tools, business analytics, and digital management platforms into learning processes.</w:t>
      </w:r>
    </w:p>
    <w:p>
      <w:pPr>
        <w:pStyle w:val="ListParagraph"/>
        <w:numPr>
          <w:ilvl w:val="0"/>
          <w:numId w:val="2"/>
        </w:numPr>
        <w:spacing w:after="40"/>
      </w:pPr>
      <w:r>
        <w:rPr>
          <w:rFonts w:ascii="Calibri" w:cs="Calibri" w:eastAsia="Calibri" w:hAnsi="Calibri"/>
          <w:sz w:val="24"/>
          <w:szCs w:val="24"/>
        </w:rPr>
        <w:t xml:space="preserve">Utilize data analytics to enhance student performance and programme effectiveness.</w:t>
      </w:r>
    </w:p>
    <w:p>
      <w:pPr>
        <w:pStyle w:val="ListParagraph"/>
        <w:numPr>
          <w:ilvl w:val="0"/>
          <w:numId w:val="2"/>
        </w:numPr>
        <w:spacing w:after="40"/>
      </w:pPr>
      <w:r>
        <w:rPr>
          <w:rFonts w:ascii="Calibri" w:cs="Calibri" w:eastAsia="Calibri" w:hAnsi="Calibri"/>
          <w:sz w:val="24"/>
          <w:szCs w:val="24"/>
        </w:rPr>
        <w:t xml:space="preserve">Offer blended and online learning options to increase accessibility.</w:t>
      </w:r>
    </w:p>
    <w:p>
      <w:pPr>
        <w:spacing w:after="40" w:before="120"/>
      </w:pPr>
      <w:r>
        <w:rPr>
          <w:rFonts w:ascii="Calibri" w:cs="Calibri" w:eastAsia="Calibri" w:hAnsi="Calibri"/>
          <w:b/>
          <w:bCs/>
          <w:color w:val="9A3318"/>
          <w:sz w:val="24"/>
          <w:szCs w:val="24"/>
        </w:rPr>
        <w:t xml:space="preserve">✅ 6.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Embed sustainable and green business management, ESG, and circular-economy topics in the curriculum.</w:t>
      </w:r>
    </w:p>
    <w:p>
      <w:pPr>
        <w:pStyle w:val="ListParagraph"/>
        <w:numPr>
          <w:ilvl w:val="0"/>
          <w:numId w:val="2"/>
        </w:numPr>
        <w:spacing w:after="40"/>
      </w:pPr>
      <w:r>
        <w:rPr>
          <w:rFonts w:ascii="Calibri" w:cs="Calibri" w:eastAsia="Calibri" w:hAnsi="Calibri"/>
          <w:sz w:val="24"/>
          <w:szCs w:val="24"/>
        </w:rPr>
        <w:t xml:space="preserve">Integrate AI-driven decision-support and analytics tools into management education.</w:t>
      </w:r>
    </w:p>
    <w:p>
      <w:pPr>
        <w:pStyle w:val="ListParagraph"/>
        <w:numPr>
          <w:ilvl w:val="0"/>
          <w:numId w:val="2"/>
        </w:numPr>
        <w:spacing w:after="40"/>
      </w:pPr>
      <w:r>
        <w:rPr>
          <w:rFonts w:ascii="Calibri" w:cs="Calibri" w:eastAsia="Calibri" w:hAnsi="Calibri"/>
          <w:sz w:val="24"/>
          <w:szCs w:val="24"/>
        </w:rPr>
        <w:t xml:space="preserve">Support green start-ups and SDG-aligned entrepreneurship through incubation and training.</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Business Administration programme describe what graduates will know and be able to do as managers and entrepreneurs. Developed in line with the outcome-based principles of the Bologna Process and the Iraq National Qualifications Framework, they are shaped by the realities of the Iraqi market and the entrepreneurial opportunities emerging from the economic revival of Mosul and Nineveh Governorate.</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management theories and functions to plan, organize, lead, and control organizations in the Iraqi public and private sectors.</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Analyze local and regional market environments and formulate strategies that support the economic revival of Mosul and Nineveh Governorate.</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Develop entrepreneurial business plans and feasibility studies for small and medium enterprises that generate employment in the local community.</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Use digital business tools, business analytics, and information systems to support evidence-based managerial decision-making.</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leadership, ethical conduct, teamwork, and effective communication in diverse and multicultural workplaces.</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Apply artificial intelligence tools in management decision-making, marketing analytics, and operations.</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Integrate sustainability and circular-economy principles into business strategies and models.</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Use business data analytics to evaluate organizational and environmental performance.</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Design green entrepreneurial ventures that create sustainable jobs in Mosul and Nineveh.</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Demonstrate green leadership and advance the Sustainable Development Goals (SDGs) in organizations and the community.</w:t>
      </w:r>
    </w:p>
    <w:p>
      <w:pPr>
        <w:pStyle w:val="Heading2"/>
        <w:spacing w:before="240"/>
      </w:pPr>
      <w:r>
        <w:rPr>
          <w:rFonts w:ascii="Calibri" w:cs="Calibri" w:eastAsia="Calibri" w:hAnsi="Calibri"/>
        </w:rPr>
        <w:t xml:space="preserve">Department of Financial and Banking Sciences (DFBS)</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Financial and Banking Sciences programme as offered by Al-Hadba University under the supervision of the Ministry of Higher Education and Scientific Research (MoHESR). The programme leads to the award of Bachelor of Science (B.Sc.) in Financial and Banking Sciences after 4 academic years of full-time study, and is delivered through the Bologna Process, with a two-semester structure, 240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Administration and Economics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Financial and Banking Sciences</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DFBS</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AHU11300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Financial and Banking Sciences</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240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Arabic and 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finance and banking education, recognized for producing highly skilled, ethical financial professionals who strengthen a modern, stable, and inclusive financial sector and contribute to Iraq's sustainable economic development.</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Financial and Banking Sciences at AHU is committed to:</w:t>
      </w:r>
    </w:p>
    <w:p>
      <w:pPr>
        <w:pStyle w:val="ListParagraph"/>
        <w:numPr>
          <w:ilvl w:val="0"/>
          <w:numId w:val="2"/>
        </w:numPr>
        <w:spacing w:after="40"/>
      </w:pPr>
      <w:r>
        <w:rPr>
          <w:rFonts w:ascii="Calibri" w:cs="Calibri" w:eastAsia="Calibri" w:hAnsi="Calibri"/>
          <w:sz w:val="24"/>
          <w:szCs w:val="24"/>
        </w:rPr>
        <w:t xml:space="preserve">Delivering high-quality education in finance and banking that combines theory with practical application.</w:t>
      </w:r>
    </w:p>
    <w:p>
      <w:pPr>
        <w:pStyle w:val="ListParagraph"/>
        <w:numPr>
          <w:ilvl w:val="0"/>
          <w:numId w:val="2"/>
        </w:numPr>
        <w:spacing w:after="40"/>
      </w:pPr>
      <w:r>
        <w:rPr>
          <w:rFonts w:ascii="Calibri" w:cs="Calibri" w:eastAsia="Calibri" w:hAnsi="Calibri"/>
          <w:sz w:val="24"/>
          <w:szCs w:val="24"/>
        </w:rPr>
        <w:t xml:space="preserve">Preparing skilled, ethical professionals in banking operations, financial markets, and financial technology.</w:t>
      </w:r>
    </w:p>
    <w:p>
      <w:pPr>
        <w:pStyle w:val="ListParagraph"/>
        <w:numPr>
          <w:ilvl w:val="0"/>
          <w:numId w:val="2"/>
        </w:numPr>
        <w:spacing w:after="40"/>
      </w:pPr>
      <w:r>
        <w:rPr>
          <w:rFonts w:ascii="Calibri" w:cs="Calibri" w:eastAsia="Calibri" w:hAnsi="Calibri"/>
          <w:sz w:val="24"/>
          <w:szCs w:val="24"/>
        </w:rPr>
        <w:t xml:space="preserve">Advancing applied research that supports financial stability, inclusion, and sector development in Iraq.</w:t>
      </w:r>
    </w:p>
    <w:p>
      <w:pPr>
        <w:pStyle w:val="ListParagraph"/>
        <w:numPr>
          <w:ilvl w:val="0"/>
          <w:numId w:val="2"/>
        </w:numPr>
        <w:spacing w:after="40"/>
      </w:pPr>
      <w:r>
        <w:rPr>
          <w:rFonts w:ascii="Calibri" w:cs="Calibri" w:eastAsia="Calibri" w:hAnsi="Calibri"/>
          <w:sz w:val="24"/>
          <w:szCs w:val="24"/>
        </w:rPr>
        <w:t xml:space="preserve">Serving the community through financial literacy campaigns and advisory services.</w:t>
      </w:r>
    </w:p>
    <w:p>
      <w:pPr>
        <w:pStyle w:val="ListParagraph"/>
        <w:numPr>
          <w:ilvl w:val="0"/>
          <w:numId w:val="2"/>
        </w:numPr>
        <w:spacing w:after="40"/>
      </w:pPr>
      <w:r>
        <w:rPr>
          <w:rFonts w:ascii="Calibri" w:cs="Calibri" w:eastAsia="Calibri" w:hAnsi="Calibri"/>
          <w:sz w:val="24"/>
          <w:szCs w:val="24"/>
        </w:rPr>
        <w:t xml:space="preserve">Strengthening partnerships with banks and financial institutions to enhance training and employability.</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Development</w:t>
      </w:r>
    </w:p>
    <w:p>
      <w:pPr>
        <w:pStyle w:val="ListParagraph"/>
        <w:numPr>
          <w:ilvl w:val="0"/>
          <w:numId w:val="2"/>
        </w:numPr>
        <w:spacing w:after="40"/>
      </w:pPr>
      <w:r>
        <w:rPr>
          <w:rFonts w:ascii="Calibri" w:cs="Calibri" w:eastAsia="Calibri" w:hAnsi="Calibri"/>
          <w:sz w:val="24"/>
          <w:szCs w:val="24"/>
        </w:rPr>
        <w:t xml:space="preserve">Modernize curricula in banking operations, financial markets, risk management, and Islamic finance.</w:t>
      </w:r>
    </w:p>
    <w:p>
      <w:pPr>
        <w:pStyle w:val="ListParagraph"/>
        <w:numPr>
          <w:ilvl w:val="0"/>
          <w:numId w:val="2"/>
        </w:numPr>
        <w:spacing w:after="40"/>
      </w:pPr>
      <w:r>
        <w:rPr>
          <w:rFonts w:ascii="Calibri" w:cs="Calibri" w:eastAsia="Calibri" w:hAnsi="Calibri"/>
          <w:sz w:val="24"/>
          <w:szCs w:val="24"/>
        </w:rPr>
        <w:t xml:space="preserve">Incorporate financial technology (FinTech), digital payments, and international banking standards into coursework.</w:t>
      </w:r>
    </w:p>
    <w:p>
      <w:pPr>
        <w:pStyle w:val="ListParagraph"/>
        <w:numPr>
          <w:ilvl w:val="0"/>
          <w:numId w:val="2"/>
        </w:numPr>
        <w:spacing w:after="40"/>
      </w:pPr>
      <w:r>
        <w:rPr>
          <w:rFonts w:ascii="Calibri" w:cs="Calibri" w:eastAsia="Calibri" w:hAnsi="Calibri"/>
          <w:sz w:val="24"/>
          <w:szCs w:val="24"/>
        </w:rPr>
        <w:t xml:space="preserve">Regularly review and update course content to align with international standards and MoHESR guidelines.</w:t>
      </w:r>
    </w:p>
    <w:p>
      <w:pPr>
        <w:spacing w:after="40" w:before="120"/>
      </w:pPr>
      <w:r>
        <w:rPr>
          <w:rFonts w:ascii="Calibri" w:cs="Calibri" w:eastAsia="Calibri" w:hAnsi="Calibri"/>
          <w:b/>
          <w:bCs/>
          <w:color w:val="9A3318"/>
          <w:sz w:val="24"/>
          <w:szCs w:val="24"/>
        </w:rPr>
        <w:t xml:space="preserve">✅ 2. Research and Innovation</w:t>
      </w:r>
    </w:p>
    <w:p>
      <w:pPr>
        <w:pStyle w:val="ListParagraph"/>
        <w:numPr>
          <w:ilvl w:val="0"/>
          <w:numId w:val="2"/>
        </w:numPr>
        <w:spacing w:after="40"/>
      </w:pPr>
      <w:r>
        <w:rPr>
          <w:rFonts w:ascii="Calibri" w:cs="Calibri" w:eastAsia="Calibri" w:hAnsi="Calibri"/>
          <w:sz w:val="24"/>
          <w:szCs w:val="24"/>
        </w:rPr>
        <w:t xml:space="preserve">Promote applied research in monetary policy, financial inclusion, banking stability, and FinTech.</w:t>
      </w:r>
    </w:p>
    <w:p>
      <w:pPr>
        <w:pStyle w:val="ListParagraph"/>
        <w:numPr>
          <w:ilvl w:val="0"/>
          <w:numId w:val="2"/>
        </w:numPr>
        <w:spacing w:after="40"/>
      </w:pPr>
      <w:r>
        <w:rPr>
          <w:rFonts w:ascii="Calibri" w:cs="Calibri" w:eastAsia="Calibri" w:hAnsi="Calibri"/>
          <w:sz w:val="24"/>
          <w:szCs w:val="24"/>
        </w:rPr>
        <w:t xml:space="preserve">Support faculty and student-led research on the development of Iraq's financial and banking sector.</w:t>
      </w:r>
    </w:p>
    <w:p>
      <w:pPr>
        <w:pStyle w:val="ListParagraph"/>
        <w:numPr>
          <w:ilvl w:val="0"/>
          <w:numId w:val="2"/>
        </w:numPr>
        <w:spacing w:after="40"/>
      </w:pPr>
      <w:r>
        <w:rPr>
          <w:rFonts w:ascii="Calibri" w:cs="Calibri" w:eastAsia="Calibri" w:hAnsi="Calibri"/>
          <w:sz w:val="24"/>
          <w:szCs w:val="24"/>
        </w:rPr>
        <w:t xml:space="preserve">Encourage publication in reputable finance and banking journals.</w:t>
      </w:r>
    </w:p>
    <w:p>
      <w:pPr>
        <w:spacing w:after="40" w:before="120"/>
      </w:pPr>
      <w:r>
        <w:rPr>
          <w:rFonts w:ascii="Calibri" w:cs="Calibri" w:eastAsia="Calibri" w:hAnsi="Calibri"/>
          <w:b/>
          <w:bCs/>
          <w:color w:val="9A3318"/>
          <w:sz w:val="24"/>
          <w:szCs w:val="24"/>
        </w:rPr>
        <w:t xml:space="preserve">✅ 3. Industry and Community Partnerships</w:t>
      </w:r>
    </w:p>
    <w:p>
      <w:pPr>
        <w:pStyle w:val="ListParagraph"/>
        <w:numPr>
          <w:ilvl w:val="0"/>
          <w:numId w:val="2"/>
        </w:numPr>
        <w:spacing w:after="40"/>
      </w:pPr>
      <w:r>
        <w:rPr>
          <w:rFonts w:ascii="Calibri" w:cs="Calibri" w:eastAsia="Calibri" w:hAnsi="Calibri"/>
          <w:sz w:val="24"/>
          <w:szCs w:val="24"/>
        </w:rPr>
        <w:t xml:space="preserve">Strengthen collaboration with the Central Bank, commercial banks, insurance companies, and financial institutions.</w:t>
      </w:r>
    </w:p>
    <w:p>
      <w:pPr>
        <w:pStyle w:val="ListParagraph"/>
        <w:numPr>
          <w:ilvl w:val="0"/>
          <w:numId w:val="2"/>
        </w:numPr>
        <w:spacing w:after="40"/>
      </w:pPr>
      <w:r>
        <w:rPr>
          <w:rFonts w:ascii="Calibri" w:cs="Calibri" w:eastAsia="Calibri" w:hAnsi="Calibri"/>
          <w:sz w:val="24"/>
          <w:szCs w:val="24"/>
        </w:rPr>
        <w:t xml:space="preserve">Develop internships and cooperative training programmes within the banking sector.</w:t>
      </w:r>
    </w:p>
    <w:p>
      <w:pPr>
        <w:pStyle w:val="ListParagraph"/>
        <w:numPr>
          <w:ilvl w:val="0"/>
          <w:numId w:val="2"/>
        </w:numPr>
        <w:spacing w:after="40"/>
      </w:pPr>
      <w:r>
        <w:rPr>
          <w:rFonts w:ascii="Calibri" w:cs="Calibri" w:eastAsia="Calibri" w:hAnsi="Calibri"/>
          <w:sz w:val="24"/>
          <w:szCs w:val="24"/>
        </w:rPr>
        <w:t xml:space="preserve">Enhance community outreach through financial literacy campaigns and advisory services.</w:t>
      </w:r>
    </w:p>
    <w:p>
      <w:pPr>
        <w:spacing w:after="40" w:before="120"/>
      </w:pPr>
      <w:r>
        <w:rPr>
          <w:rFonts w:ascii="Calibri" w:cs="Calibri" w:eastAsia="Calibri" w:hAnsi="Calibri"/>
          <w:b/>
          <w:bCs/>
          <w:color w:val="9A3318"/>
          <w:sz w:val="24"/>
          <w:szCs w:val="24"/>
        </w:rPr>
        <w:t xml:space="preserve">✅ 4. Student Success and Employability</w:t>
      </w:r>
    </w:p>
    <w:p>
      <w:pPr>
        <w:pStyle w:val="ListParagraph"/>
        <w:numPr>
          <w:ilvl w:val="0"/>
          <w:numId w:val="2"/>
        </w:numPr>
        <w:spacing w:after="40"/>
      </w:pPr>
      <w:r>
        <w:rPr>
          <w:rFonts w:ascii="Calibri" w:cs="Calibri" w:eastAsia="Calibri" w:hAnsi="Calibri"/>
          <w:sz w:val="24"/>
          <w:szCs w:val="24"/>
        </w:rPr>
        <w:t xml:space="preserve">Prepare students for professional banking and finance certifications to boost employability.</w:t>
      </w:r>
    </w:p>
    <w:p>
      <w:pPr>
        <w:pStyle w:val="ListParagraph"/>
        <w:numPr>
          <w:ilvl w:val="0"/>
          <w:numId w:val="2"/>
        </w:numPr>
        <w:spacing w:after="40"/>
      </w:pPr>
      <w:r>
        <w:rPr>
          <w:rFonts w:ascii="Calibri" w:cs="Calibri" w:eastAsia="Calibri" w:hAnsi="Calibri"/>
          <w:sz w:val="24"/>
          <w:szCs w:val="24"/>
        </w:rPr>
        <w:t xml:space="preserve">Expand career services with mentoring, coaching, and job placement support in the financial sector.</w:t>
      </w:r>
    </w:p>
    <w:p>
      <w:pPr>
        <w:pStyle w:val="ListParagraph"/>
        <w:numPr>
          <w:ilvl w:val="0"/>
          <w:numId w:val="2"/>
        </w:numPr>
        <w:spacing w:after="40"/>
      </w:pPr>
      <w:r>
        <w:rPr>
          <w:rFonts w:ascii="Calibri" w:cs="Calibri" w:eastAsia="Calibri" w:hAnsi="Calibri"/>
          <w:sz w:val="24"/>
          <w:szCs w:val="24"/>
        </w:rPr>
        <w:t xml:space="preserve">Foster alumni networks to support career growth and professional connections.</w:t>
      </w:r>
    </w:p>
    <w:p>
      <w:pPr>
        <w:spacing w:after="40" w:before="120"/>
      </w:pPr>
      <w:r>
        <w:rPr>
          <w:rFonts w:ascii="Calibri" w:cs="Calibri" w:eastAsia="Calibri" w:hAnsi="Calibri"/>
          <w:b/>
          <w:bCs/>
          <w:color w:val="9A3318"/>
          <w:sz w:val="24"/>
          <w:szCs w:val="24"/>
        </w:rPr>
        <w:t xml:space="preserve">✅ 5. Digital Transformation</w:t>
      </w:r>
    </w:p>
    <w:p>
      <w:pPr>
        <w:pStyle w:val="ListParagraph"/>
        <w:numPr>
          <w:ilvl w:val="0"/>
          <w:numId w:val="2"/>
        </w:numPr>
        <w:spacing w:after="40"/>
      </w:pPr>
      <w:r>
        <w:rPr>
          <w:rFonts w:ascii="Calibri" w:cs="Calibri" w:eastAsia="Calibri" w:hAnsi="Calibri"/>
          <w:sz w:val="24"/>
          <w:szCs w:val="24"/>
        </w:rPr>
        <w:t xml:space="preserve">Establish digital banking and financial analytics learning environments for practical training.</w:t>
      </w:r>
    </w:p>
    <w:p>
      <w:pPr>
        <w:pStyle w:val="ListParagraph"/>
        <w:numPr>
          <w:ilvl w:val="0"/>
          <w:numId w:val="2"/>
        </w:numPr>
        <w:spacing w:after="40"/>
      </w:pPr>
      <w:r>
        <w:rPr>
          <w:rFonts w:ascii="Calibri" w:cs="Calibri" w:eastAsia="Calibri" w:hAnsi="Calibri"/>
          <w:sz w:val="24"/>
          <w:szCs w:val="24"/>
        </w:rPr>
        <w:t xml:space="preserve">Integrate e-payment systems, financial modelling tools, and data analytics into learning processes.</w:t>
      </w:r>
    </w:p>
    <w:p>
      <w:pPr>
        <w:pStyle w:val="ListParagraph"/>
        <w:numPr>
          <w:ilvl w:val="0"/>
          <w:numId w:val="2"/>
        </w:numPr>
        <w:spacing w:after="40"/>
      </w:pPr>
      <w:r>
        <w:rPr>
          <w:rFonts w:ascii="Calibri" w:cs="Calibri" w:eastAsia="Calibri" w:hAnsi="Calibri"/>
          <w:sz w:val="24"/>
          <w:szCs w:val="24"/>
        </w:rPr>
        <w:t xml:space="preserve">Offer blended and online learning options to increase accessibility.</w:t>
      </w:r>
    </w:p>
    <w:p>
      <w:pPr>
        <w:spacing w:after="40" w:before="120"/>
      </w:pPr>
      <w:r>
        <w:rPr>
          <w:rFonts w:ascii="Calibri" w:cs="Calibri" w:eastAsia="Calibri" w:hAnsi="Calibri"/>
          <w:b/>
          <w:bCs/>
          <w:color w:val="9A3318"/>
          <w:sz w:val="24"/>
          <w:szCs w:val="24"/>
        </w:rPr>
        <w:t xml:space="preserve">✅ 6.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Introduce green finance, sustainable investment, and climate-risk topics into the curriculum.</w:t>
      </w:r>
    </w:p>
    <w:p>
      <w:pPr>
        <w:pStyle w:val="ListParagraph"/>
        <w:numPr>
          <w:ilvl w:val="0"/>
          <w:numId w:val="2"/>
        </w:numPr>
        <w:spacing w:after="40"/>
      </w:pPr>
      <w:r>
        <w:rPr>
          <w:rFonts w:ascii="Calibri" w:cs="Calibri" w:eastAsia="Calibri" w:hAnsi="Calibri"/>
          <w:sz w:val="24"/>
          <w:szCs w:val="24"/>
        </w:rPr>
        <w:t xml:space="preserve">Embed AI and data-analytics applications for banking in teaching and laboratories.</w:t>
      </w:r>
    </w:p>
    <w:p>
      <w:pPr>
        <w:pStyle w:val="ListParagraph"/>
        <w:numPr>
          <w:ilvl w:val="0"/>
          <w:numId w:val="2"/>
        </w:numPr>
        <w:spacing w:after="40"/>
      </w:pPr>
      <w:r>
        <w:rPr>
          <w:rFonts w:ascii="Calibri" w:cs="Calibri" w:eastAsia="Calibri" w:hAnsi="Calibri"/>
          <w:sz w:val="24"/>
          <w:szCs w:val="24"/>
        </w:rPr>
        <w:t xml:space="preserve">Promote financial-literacy outreach that advances sustainability and the SDGs in the community.</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Financial and Banking Sciences programme specify the professional capabilities expected of every graduate. Aligned with the outcome-based approach of the Bologna Process and the Iraq National Qualifications Framework, they reflect the regulatory framework of the Central Bank of Iraq and the national drive toward financial inclusion and a modern, trustworthy banking sector.</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the principles of banking operations, financial markets, and risk management within the regulatory framework of the Central Bank of Iraq.</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Analyze financial data and instruments to make sound credit, investment, and financing decisions.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Use financial technology (FinTech) and digital banking tools to support financial inclusion and the modernization of Iraq's banking sector.</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Evaluate Islamic and conventional financial products and services in response to the needs of the local community.</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and effective communication that strengthen transparency and public trust in Iraq's financial institutions.</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Apply artificial intelligence in banking operations, credit scoring, and financial risk analysis.</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Evaluate green finance instruments, sustainable investment, and climate-related financial risk.</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Use financial data analytics to support sustainable and inclusive financial decisions.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Develop innovative FinTech solutions supporting Iraq's green economic transition.</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sustainable financial inclusion and contribute to the SDGs through responsible banking practice.</w:t>
      </w:r>
    </w:p>
    <w:p>
      <w:pPr>
        <w:pStyle w:val="Heading1"/>
        <w:pageBreakBefore/>
      </w:pPr>
      <w:r>
        <w:rPr>
          <w:rFonts w:ascii="Calibri" w:cs="Calibri" w:eastAsia="Calibri" w:hAnsi="Calibri"/>
        </w:rPr>
        <w:t xml:space="preserve">2. College of Arts (CART)</w:t>
      </w:r>
    </w:p>
    <w:p>
      <w:pPr>
        <w:pStyle w:val="Heading2"/>
        <w:spacing w:before="240"/>
      </w:pPr>
      <w:r>
        <w:rPr>
          <w:rFonts w:ascii="Calibri" w:cs="Calibri" w:eastAsia="Calibri" w:hAnsi="Calibri"/>
        </w:rPr>
        <w:t xml:space="preserve">Department of English (DENL)</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English Language programme as offered by Al-Hadba University under the supervision of the Ministry of Higher Education and Scientific Research (MoHESR). The programme leads to the award of Bachelor of Arts (B.A.) in English Language after 4 academic years of full-time study, and is delivered through the Iraqi academic teaching system and its course-unit framework, in accordance with MoHESR regulations.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Arts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English Language</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DENL</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AHU13100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Arts (B.A.) in English Language</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Iraqi academic teaching system (MoHESR)</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Iraqi course-unit system in accordance with MoHESR regulations</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English language and literature education, recognized for producing linguistically proficient, critically minded, and culturally aware graduates who excel in communication, translation, and scholarship, and who serve as bridges for cross-cultural dialogue locally and globally.</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English at AHU is committed to:</w:t>
      </w:r>
    </w:p>
    <w:p>
      <w:pPr>
        <w:pStyle w:val="ListParagraph"/>
        <w:numPr>
          <w:ilvl w:val="0"/>
          <w:numId w:val="2"/>
        </w:numPr>
        <w:spacing w:after="40"/>
      </w:pPr>
      <w:r>
        <w:rPr>
          <w:rFonts w:ascii="Calibri" w:cs="Calibri" w:eastAsia="Calibri" w:hAnsi="Calibri"/>
          <w:sz w:val="24"/>
          <w:szCs w:val="24"/>
        </w:rPr>
        <w:t xml:space="preserve">Delivering high-quality education in English language, literature, and translation.</w:t>
      </w:r>
    </w:p>
    <w:p>
      <w:pPr>
        <w:pStyle w:val="ListParagraph"/>
        <w:numPr>
          <w:ilvl w:val="0"/>
          <w:numId w:val="2"/>
        </w:numPr>
        <w:spacing w:after="40"/>
      </w:pPr>
      <w:r>
        <w:rPr>
          <w:rFonts w:ascii="Calibri" w:cs="Calibri" w:eastAsia="Calibri" w:hAnsi="Calibri"/>
          <w:sz w:val="24"/>
          <w:szCs w:val="24"/>
        </w:rPr>
        <w:t xml:space="preserve">Preparing graduates with linguistic proficiency, critical thinking, and cultural competence for global engagement.</w:t>
      </w:r>
    </w:p>
    <w:p>
      <w:pPr>
        <w:pStyle w:val="ListParagraph"/>
        <w:numPr>
          <w:ilvl w:val="0"/>
          <w:numId w:val="2"/>
        </w:numPr>
        <w:spacing w:after="40"/>
      </w:pPr>
      <w:r>
        <w:rPr>
          <w:rFonts w:ascii="Calibri" w:cs="Calibri" w:eastAsia="Calibri" w:hAnsi="Calibri"/>
          <w:sz w:val="24"/>
          <w:szCs w:val="24"/>
        </w:rPr>
        <w:t xml:space="preserve">Advancing research and scholarship in linguistics, literature, and translation studies.</w:t>
      </w:r>
    </w:p>
    <w:p>
      <w:pPr>
        <w:pStyle w:val="ListParagraph"/>
        <w:numPr>
          <w:ilvl w:val="0"/>
          <w:numId w:val="2"/>
        </w:numPr>
        <w:spacing w:after="40"/>
      </w:pPr>
      <w:r>
        <w:rPr>
          <w:rFonts w:ascii="Calibri" w:cs="Calibri" w:eastAsia="Calibri" w:hAnsi="Calibri"/>
          <w:sz w:val="24"/>
          <w:szCs w:val="24"/>
        </w:rPr>
        <w:t xml:space="preserve">Serving the community through language courses, translation services, and cultural events.</w:t>
      </w:r>
    </w:p>
    <w:p>
      <w:pPr>
        <w:pStyle w:val="ListParagraph"/>
        <w:numPr>
          <w:ilvl w:val="0"/>
          <w:numId w:val="2"/>
        </w:numPr>
        <w:spacing w:after="40"/>
      </w:pPr>
      <w:r>
        <w:rPr>
          <w:rFonts w:ascii="Calibri" w:cs="Calibri" w:eastAsia="Calibri" w:hAnsi="Calibri"/>
          <w:sz w:val="24"/>
          <w:szCs w:val="24"/>
        </w:rPr>
        <w:t xml:space="preserve">Strengthening partnerships with international institutions to enhance learning, exchange, and research opportunities.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Innovation</w:t>
      </w:r>
    </w:p>
    <w:p>
      <w:pPr>
        <w:pStyle w:val="ListParagraph"/>
        <w:numPr>
          <w:ilvl w:val="0"/>
          <w:numId w:val="2"/>
        </w:numPr>
        <w:spacing w:after="40"/>
      </w:pPr>
      <w:r>
        <w:rPr>
          <w:rFonts w:ascii="Calibri" w:cs="Calibri" w:eastAsia="Calibri" w:hAnsi="Calibri"/>
          <w:sz w:val="24"/>
          <w:szCs w:val="24"/>
        </w:rPr>
        <w:t xml:space="preserve">Offer modern, interdisciplinary programmes blending linguistics, literature, and translation studies.</w:t>
      </w:r>
    </w:p>
    <w:p>
      <w:pPr>
        <w:pStyle w:val="ListParagraph"/>
        <w:numPr>
          <w:ilvl w:val="0"/>
          <w:numId w:val="2"/>
        </w:numPr>
        <w:spacing w:after="40"/>
      </w:pPr>
      <w:r>
        <w:rPr>
          <w:rFonts w:ascii="Calibri" w:cs="Calibri" w:eastAsia="Calibri" w:hAnsi="Calibri"/>
          <w:sz w:val="24"/>
          <w:szCs w:val="24"/>
        </w:rPr>
        <w:t xml:space="preserve">Integrate digital humanities, language technologies, and international proficiency frameworks (e.g., CEFR) into the curriculum.</w:t>
      </w:r>
    </w:p>
    <w:p>
      <w:pPr>
        <w:pStyle w:val="ListParagraph"/>
        <w:numPr>
          <w:ilvl w:val="0"/>
          <w:numId w:val="2"/>
        </w:numPr>
        <w:spacing w:after="40"/>
      </w:pPr>
      <w:r>
        <w:rPr>
          <w:rFonts w:ascii="Calibri" w:cs="Calibri" w:eastAsia="Calibri" w:hAnsi="Calibri"/>
          <w:sz w:val="24"/>
          <w:szCs w:val="24"/>
        </w:rPr>
        <w:t xml:space="preserve">Foster critical thinking, creativity, and analytical skills through interactive learning experiences.</w:t>
      </w:r>
    </w:p>
    <w:p>
      <w:pPr>
        <w:spacing w:after="40" w:before="120"/>
      </w:pPr>
      <w:r>
        <w:rPr>
          <w:rFonts w:ascii="Calibri" w:cs="Calibri" w:eastAsia="Calibri" w:hAnsi="Calibri"/>
          <w:b/>
          <w:bCs/>
          <w:color w:val="9A3318"/>
          <w:sz w:val="24"/>
          <w:szCs w:val="24"/>
        </w:rPr>
        <w:t xml:space="preserve">✅ 2. Practical Learning and Skill Development</w:t>
      </w:r>
    </w:p>
    <w:p>
      <w:pPr>
        <w:pStyle w:val="ListParagraph"/>
        <w:numPr>
          <w:ilvl w:val="0"/>
          <w:numId w:val="2"/>
        </w:numPr>
        <w:spacing w:after="40"/>
      </w:pPr>
      <w:r>
        <w:rPr>
          <w:rFonts w:ascii="Calibri" w:cs="Calibri" w:eastAsia="Calibri" w:hAnsi="Calibri"/>
          <w:sz w:val="24"/>
          <w:szCs w:val="24"/>
        </w:rPr>
        <w:t xml:space="preserve">Provide hands-on training in translation, interpretation, creative writing, and academic writing.</w:t>
      </w:r>
    </w:p>
    <w:p>
      <w:pPr>
        <w:pStyle w:val="ListParagraph"/>
        <w:numPr>
          <w:ilvl w:val="0"/>
          <w:numId w:val="2"/>
        </w:numPr>
        <w:spacing w:after="40"/>
      </w:pPr>
      <w:r>
        <w:rPr>
          <w:rFonts w:ascii="Calibri" w:cs="Calibri" w:eastAsia="Calibri" w:hAnsi="Calibri"/>
          <w:sz w:val="24"/>
          <w:szCs w:val="24"/>
        </w:rPr>
        <w:t xml:space="preserve">Enhance students' public speaking and presentation skills through debates, seminars, and performance activities.</w:t>
      </w:r>
    </w:p>
    <w:p>
      <w:pPr>
        <w:pStyle w:val="ListParagraph"/>
        <w:numPr>
          <w:ilvl w:val="0"/>
          <w:numId w:val="2"/>
        </w:numPr>
        <w:spacing w:after="40"/>
      </w:pPr>
      <w:r>
        <w:rPr>
          <w:rFonts w:ascii="Calibri" w:cs="Calibri" w:eastAsia="Calibri" w:hAnsi="Calibri"/>
          <w:sz w:val="24"/>
          <w:szCs w:val="24"/>
        </w:rPr>
        <w:t xml:space="preserve">Encourage participation in literary and cultural events, and provide teaching practicum opportunities.</w:t>
      </w:r>
    </w:p>
    <w:p>
      <w:pPr>
        <w:spacing w:after="40" w:before="120"/>
      </w:pPr>
      <w:r>
        <w:rPr>
          <w:rFonts w:ascii="Calibri" w:cs="Calibri" w:eastAsia="Calibri" w:hAnsi="Calibri"/>
          <w:b/>
          <w:bCs/>
          <w:color w:val="9A3318"/>
          <w:sz w:val="24"/>
          <w:szCs w:val="24"/>
        </w:rPr>
        <w:t xml:space="preserve">✅ 3. Research and Scientific Advancement</w:t>
      </w:r>
    </w:p>
    <w:p>
      <w:pPr>
        <w:pStyle w:val="ListParagraph"/>
        <w:numPr>
          <w:ilvl w:val="0"/>
          <w:numId w:val="2"/>
        </w:numPr>
        <w:spacing w:after="40"/>
      </w:pPr>
      <w:r>
        <w:rPr>
          <w:rFonts w:ascii="Calibri" w:cs="Calibri" w:eastAsia="Calibri" w:hAnsi="Calibri"/>
          <w:sz w:val="24"/>
          <w:szCs w:val="24"/>
        </w:rPr>
        <w:t xml:space="preserve">Promote faculty and student-led research in linguistics, literature, applied linguistics, and translation studies.</w:t>
      </w:r>
    </w:p>
    <w:p>
      <w:pPr>
        <w:pStyle w:val="ListParagraph"/>
        <w:numPr>
          <w:ilvl w:val="0"/>
          <w:numId w:val="2"/>
        </w:numPr>
        <w:spacing w:after="40"/>
      </w:pPr>
      <w:r>
        <w:rPr>
          <w:rFonts w:ascii="Calibri" w:cs="Calibri" w:eastAsia="Calibri" w:hAnsi="Calibri"/>
          <w:sz w:val="24"/>
          <w:szCs w:val="24"/>
        </w:rPr>
        <w:t xml:space="preserve">Support publication of scholarly papers in reputable humanities journals.</w:t>
      </w:r>
    </w:p>
    <w:p>
      <w:pPr>
        <w:pStyle w:val="ListParagraph"/>
        <w:numPr>
          <w:ilvl w:val="0"/>
          <w:numId w:val="2"/>
        </w:numPr>
        <w:spacing w:after="40"/>
      </w:pPr>
      <w:r>
        <w:rPr>
          <w:rFonts w:ascii="Calibri" w:cs="Calibri" w:eastAsia="Calibri" w:hAnsi="Calibri"/>
          <w:sz w:val="24"/>
          <w:szCs w:val="24"/>
        </w:rPr>
        <w:t xml:space="preserve">Establish research partnerships with local and international universities.</w:t>
      </w:r>
    </w:p>
    <w:p>
      <w:pPr>
        <w:spacing w:after="40" w:before="120"/>
      </w:pPr>
      <w:r>
        <w:rPr>
          <w:rFonts w:ascii="Calibri" w:cs="Calibri" w:eastAsia="Calibri" w:hAnsi="Calibri"/>
          <w:b/>
          <w:bCs/>
          <w:color w:val="9A3318"/>
          <w:sz w:val="24"/>
          <w:szCs w:val="24"/>
        </w:rPr>
        <w:t xml:space="preserve">✅ 4. Community Engagement and Cultural Impact</w:t>
      </w:r>
    </w:p>
    <w:p>
      <w:pPr>
        <w:pStyle w:val="ListParagraph"/>
        <w:numPr>
          <w:ilvl w:val="0"/>
          <w:numId w:val="2"/>
        </w:numPr>
        <w:spacing w:after="40"/>
      </w:pPr>
      <w:r>
        <w:rPr>
          <w:rFonts w:ascii="Calibri" w:cs="Calibri" w:eastAsia="Calibri" w:hAnsi="Calibri"/>
          <w:sz w:val="24"/>
          <w:szCs w:val="24"/>
        </w:rPr>
        <w:t xml:space="preserve">Offer English language courses, translation services, and educational workshops to the community.</w:t>
      </w:r>
    </w:p>
    <w:p>
      <w:pPr>
        <w:pStyle w:val="ListParagraph"/>
        <w:numPr>
          <w:ilvl w:val="0"/>
          <w:numId w:val="2"/>
        </w:numPr>
        <w:spacing w:after="40"/>
      </w:pPr>
      <w:r>
        <w:rPr>
          <w:rFonts w:ascii="Calibri" w:cs="Calibri" w:eastAsia="Calibri" w:hAnsi="Calibri"/>
          <w:sz w:val="24"/>
          <w:szCs w:val="24"/>
        </w:rPr>
        <w:t xml:space="preserve">Organize public lectures, literary readings, and cultural events that enrich Mosul's cultural life.</w:t>
      </w:r>
    </w:p>
    <w:p>
      <w:pPr>
        <w:pStyle w:val="ListParagraph"/>
        <w:numPr>
          <w:ilvl w:val="0"/>
          <w:numId w:val="2"/>
        </w:numPr>
        <w:spacing w:after="40"/>
      </w:pPr>
      <w:r>
        <w:rPr>
          <w:rFonts w:ascii="Calibri" w:cs="Calibri" w:eastAsia="Calibri" w:hAnsi="Calibri"/>
          <w:sz w:val="24"/>
          <w:szCs w:val="24"/>
        </w:rPr>
        <w:t xml:space="preserve">Promote local and international cultural exchange programmes.</w:t>
      </w:r>
    </w:p>
    <w:p>
      <w:pPr>
        <w:spacing w:after="40" w:before="120"/>
      </w:pPr>
      <w:r>
        <w:rPr>
          <w:rFonts w:ascii="Calibri" w:cs="Calibri" w:eastAsia="Calibri" w:hAnsi="Calibri"/>
          <w:b/>
          <w:bCs/>
          <w:color w:val="9A3318"/>
          <w:sz w:val="24"/>
          <w:szCs w:val="24"/>
        </w:rPr>
        <w:t xml:space="preserve">✅ 5. Student Success and Career Readiness</w:t>
      </w:r>
    </w:p>
    <w:p>
      <w:pPr>
        <w:pStyle w:val="ListParagraph"/>
        <w:numPr>
          <w:ilvl w:val="0"/>
          <w:numId w:val="2"/>
        </w:numPr>
        <w:spacing w:after="40"/>
      </w:pPr>
      <w:r>
        <w:rPr>
          <w:rFonts w:ascii="Calibri" w:cs="Calibri" w:eastAsia="Calibri" w:hAnsi="Calibri"/>
          <w:sz w:val="24"/>
          <w:szCs w:val="24"/>
        </w:rPr>
        <w:t xml:space="preserve">Strengthen career services with internships in teaching, translation, media, and international organizations.</w:t>
      </w:r>
    </w:p>
    <w:p>
      <w:pPr>
        <w:pStyle w:val="ListParagraph"/>
        <w:numPr>
          <w:ilvl w:val="0"/>
          <w:numId w:val="2"/>
        </w:numPr>
        <w:spacing w:after="40"/>
      </w:pPr>
      <w:r>
        <w:rPr>
          <w:rFonts w:ascii="Calibri" w:cs="Calibri" w:eastAsia="Calibri" w:hAnsi="Calibri"/>
          <w:sz w:val="24"/>
          <w:szCs w:val="24"/>
        </w:rPr>
        <w:t xml:space="preserve">Offer skills workshops on academic writing, editing, and professional communication.</w:t>
      </w:r>
    </w:p>
    <w:p>
      <w:pPr>
        <w:pStyle w:val="ListParagraph"/>
        <w:numPr>
          <w:ilvl w:val="0"/>
          <w:numId w:val="2"/>
        </w:numPr>
        <w:spacing w:after="40"/>
      </w:pPr>
      <w:r>
        <w:rPr>
          <w:rFonts w:ascii="Calibri" w:cs="Calibri" w:eastAsia="Calibri" w:hAnsi="Calibri"/>
          <w:sz w:val="24"/>
          <w:szCs w:val="24"/>
        </w:rPr>
        <w:t xml:space="preserve">Foster alumni relations to provide networking and career support.</w:t>
      </w:r>
    </w:p>
    <w:p>
      <w:pPr>
        <w:spacing w:after="40" w:before="120"/>
      </w:pPr>
      <w:r>
        <w:rPr>
          <w:rFonts w:ascii="Calibri" w:cs="Calibri" w:eastAsia="Calibri" w:hAnsi="Calibri"/>
          <w:b/>
          <w:bCs/>
          <w:color w:val="9A3318"/>
          <w:sz w:val="24"/>
          <w:szCs w:val="24"/>
        </w:rPr>
        <w:t xml:space="preserve">✅ 6. Quality Assurance and Global Recognition</w:t>
      </w:r>
    </w:p>
    <w:p>
      <w:pPr>
        <w:pStyle w:val="ListParagraph"/>
        <w:numPr>
          <w:ilvl w:val="0"/>
          <w:numId w:val="2"/>
        </w:numPr>
        <w:spacing w:after="40"/>
      </w:pPr>
      <w:r>
        <w:rPr>
          <w:rFonts w:ascii="Calibri" w:cs="Calibri" w:eastAsia="Calibri" w:hAnsi="Calibri"/>
          <w:sz w:val="24"/>
          <w:szCs w:val="24"/>
        </w:rPr>
        <w:t xml:space="preserve">Ensure compliance with MoHESR standards and Bologna Process requirements (ECTS, learning outcomes).</w:t>
      </w:r>
    </w:p>
    <w:p>
      <w:pPr>
        <w:pStyle w:val="ListParagraph"/>
        <w:numPr>
          <w:ilvl w:val="0"/>
          <w:numId w:val="2"/>
        </w:numPr>
        <w:spacing w:after="40"/>
      </w:pPr>
      <w:r>
        <w:rPr>
          <w:rFonts w:ascii="Calibri" w:cs="Calibri" w:eastAsia="Calibri" w:hAnsi="Calibri"/>
          <w:sz w:val="24"/>
          <w:szCs w:val="24"/>
        </w:rPr>
        <w:t xml:space="preserve">Adopt quality assurance frameworks for continuous programme enhancement.</w:t>
      </w:r>
    </w:p>
    <w:p>
      <w:pPr>
        <w:pStyle w:val="ListParagraph"/>
        <w:numPr>
          <w:ilvl w:val="0"/>
          <w:numId w:val="2"/>
        </w:numPr>
        <w:spacing w:after="40"/>
      </w:pPr>
      <w:r>
        <w:rPr>
          <w:rFonts w:ascii="Calibri" w:cs="Calibri" w:eastAsia="Calibri" w:hAnsi="Calibri"/>
          <w:sz w:val="24"/>
          <w:szCs w:val="24"/>
        </w:rPr>
        <w:t xml:space="preserve">Regularly review and update the curriculum based on market trends and academic needs.</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eco-literacy, environmental discourse, and sustainability texts into language and literature courses.</w:t>
      </w:r>
    </w:p>
    <w:p>
      <w:pPr>
        <w:pStyle w:val="ListParagraph"/>
        <w:numPr>
          <w:ilvl w:val="0"/>
          <w:numId w:val="2"/>
        </w:numPr>
        <w:spacing w:after="40"/>
      </w:pPr>
      <w:r>
        <w:rPr>
          <w:rFonts w:ascii="Calibri" w:cs="Calibri" w:eastAsia="Calibri" w:hAnsi="Calibri"/>
          <w:sz w:val="24"/>
          <w:szCs w:val="24"/>
        </w:rPr>
        <w:t xml:space="preserve">Embed responsible use of AI-assisted translation and language-learning tools in the curriculum.</w:t>
      </w:r>
    </w:p>
    <w:p>
      <w:pPr>
        <w:pStyle w:val="ListParagraph"/>
        <w:numPr>
          <w:ilvl w:val="0"/>
          <w:numId w:val="2"/>
        </w:numPr>
        <w:spacing w:after="40"/>
      </w:pPr>
      <w:r>
        <w:rPr>
          <w:rFonts w:ascii="Calibri" w:cs="Calibri" w:eastAsia="Calibri" w:hAnsi="Calibri"/>
          <w:sz w:val="24"/>
          <w:szCs w:val="24"/>
        </w:rPr>
        <w:t xml:space="preserve">Promote awareness campaigns and translation projects supporting the SDGs in the community.</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English Language programme define the linguistic, analytical, and professional competences of its graduates. The programme follows the Iraqi academic teaching system of MoHESR, while its outcomes are formulated in a measurable, outcome-based manner consistent with the Iraq National Qualifications Framework, serving Mosul's need for skilled translators, educators, and cultural mediators who connect the city's rich heritage with the wider world.</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Demonstrate advanced proficiency in English across listening, speaking, reading, and writing for academic and professional purposes.</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Analyze literary and linguistic texts critically using appropriate theoretical and analytical frameworks.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Translate and interpret accurately between English and Arabic across academic, media, legal, and institutional domains serving organizations in Mosul and Iraq.</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Apply modern language-teaching methodologies effectively in Iraqi educational settings.</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intercultural competence, acting as a cultural bridge that presents the heritage of Mosul and Iraq to the world.</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tools responsibly in language learning, translation, and text analysis.</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Communicate environmental and sustainability themes effectively across languages and cultures.</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Apply digital humanities methods and corpus tools in linguistic and literary research.</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Produce translations and content that raise environmental awareness in the Iraqi community.</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Demonstrate green citizenship and promote sustainability values through language education and cultural work.</w:t>
      </w:r>
    </w:p>
    <w:p>
      <w:pPr>
        <w:pStyle w:val="Heading1"/>
        <w:pageBreakBefore/>
      </w:pPr>
      <w:r>
        <w:rPr>
          <w:rFonts w:ascii="Calibri" w:cs="Calibri" w:eastAsia="Calibri" w:hAnsi="Calibri"/>
        </w:rPr>
        <w:t xml:space="preserve">3. College of Technical Engineering (CTEN)</w:t>
      </w:r>
    </w:p>
    <w:p>
      <w:pPr>
        <w:pStyle w:val="Heading2"/>
        <w:spacing w:before="240"/>
      </w:pPr>
      <w:r>
        <w:rPr>
          <w:rFonts w:ascii="Calibri" w:cs="Calibri" w:eastAsia="Calibri" w:hAnsi="Calibri"/>
        </w:rPr>
        <w:t xml:space="preserve">Department of Computer Technology Engineering (DCTE)</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Computer Technology Engineering programme as offered by Al-Hadba University under the supervision of the Ministry of Higher Education and Scientific Research (MoHESR). The programme leads to the award of Bachelor of Science (B.Sc.) in Computer Technology Engineering after 4 academic years of full-time study, and is delivered through the Bologna Process, with a two-semester structure, 240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Technical Engineering</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Computer Technology Engineering</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DCTE</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AHU14100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Computer Technology Engineering</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240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computer technology engineering education and applied research, recognized for producing highly skilled, innovative, and industry-ready engineers who drive digital transformation, intelligent systems, and Iraq's technological modernization.</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Computer Technology Engineering at AHU is committed to:</w:t>
      </w:r>
    </w:p>
    <w:p>
      <w:pPr>
        <w:pStyle w:val="ListParagraph"/>
        <w:numPr>
          <w:ilvl w:val="0"/>
          <w:numId w:val="2"/>
        </w:numPr>
        <w:spacing w:after="40"/>
      </w:pPr>
      <w:r>
        <w:rPr>
          <w:rFonts w:ascii="Calibri" w:cs="Calibri" w:eastAsia="Calibri" w:hAnsi="Calibri"/>
          <w:sz w:val="24"/>
          <w:szCs w:val="24"/>
        </w:rPr>
        <w:t xml:space="preserve">Delivering high-quality technical education in computer engineering that fosters innovation and practical expertise.</w:t>
      </w:r>
    </w:p>
    <w:p>
      <w:pPr>
        <w:pStyle w:val="ListParagraph"/>
        <w:numPr>
          <w:ilvl w:val="0"/>
          <w:numId w:val="2"/>
        </w:numPr>
        <w:spacing w:after="40"/>
      </w:pPr>
      <w:r>
        <w:rPr>
          <w:rFonts w:ascii="Calibri" w:cs="Calibri" w:eastAsia="Calibri" w:hAnsi="Calibri"/>
          <w:sz w:val="24"/>
          <w:szCs w:val="24"/>
        </w:rPr>
        <w:t xml:space="preserve">Preparing industry-ready engineers with advanced competencies in computing, networks, and intelligent systems.</w:t>
      </w:r>
    </w:p>
    <w:p>
      <w:pPr>
        <w:pStyle w:val="ListParagraph"/>
        <w:numPr>
          <w:ilvl w:val="0"/>
          <w:numId w:val="2"/>
        </w:numPr>
        <w:spacing w:after="40"/>
      </w:pPr>
      <w:r>
        <w:rPr>
          <w:rFonts w:ascii="Calibri" w:cs="Calibri" w:eastAsia="Calibri" w:hAnsi="Calibri"/>
          <w:sz w:val="24"/>
          <w:szCs w:val="24"/>
        </w:rPr>
        <w:t xml:space="preserve">Driving research and technological innovation through applied projects and industry partnerships.</w:t>
      </w:r>
    </w:p>
    <w:p>
      <w:pPr>
        <w:pStyle w:val="ListParagraph"/>
        <w:numPr>
          <w:ilvl w:val="0"/>
          <w:numId w:val="2"/>
        </w:numPr>
        <w:spacing w:after="40"/>
      </w:pPr>
      <w:r>
        <w:rPr>
          <w:rFonts w:ascii="Calibri" w:cs="Calibri" w:eastAsia="Calibri" w:hAnsi="Calibri"/>
          <w:sz w:val="24"/>
          <w:szCs w:val="24"/>
        </w:rPr>
        <w:t xml:space="preserve">Contributing to Iraq's digital transformation and technological modernization.</w:t>
      </w:r>
    </w:p>
    <w:p>
      <w:pPr>
        <w:pStyle w:val="ListParagraph"/>
        <w:numPr>
          <w:ilvl w:val="0"/>
          <w:numId w:val="2"/>
        </w:numPr>
        <w:spacing w:after="40"/>
      </w:pPr>
      <w:r>
        <w:rPr>
          <w:rFonts w:ascii="Calibri" w:cs="Calibri" w:eastAsia="Calibri" w:hAnsi="Calibri"/>
          <w:sz w:val="24"/>
          <w:szCs w:val="24"/>
        </w:rPr>
        <w:t xml:space="preserve">Promoting lifelong learning and continuous professional development for students and faculty.</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Innovation</w:t>
      </w:r>
    </w:p>
    <w:p>
      <w:pPr>
        <w:pStyle w:val="ListParagraph"/>
        <w:numPr>
          <w:ilvl w:val="0"/>
          <w:numId w:val="2"/>
        </w:numPr>
        <w:spacing w:after="40"/>
      </w:pPr>
      <w:r>
        <w:rPr>
          <w:rFonts w:ascii="Calibri" w:cs="Calibri" w:eastAsia="Calibri" w:hAnsi="Calibri"/>
          <w:sz w:val="24"/>
          <w:szCs w:val="24"/>
        </w:rPr>
        <w:t xml:space="preserve">Deliver cutting-edge programmes in computer systems, embedded systems, networks, and communications aligned with global industry standards.</w:t>
      </w:r>
    </w:p>
    <w:p>
      <w:pPr>
        <w:pStyle w:val="ListParagraph"/>
        <w:numPr>
          <w:ilvl w:val="0"/>
          <w:numId w:val="2"/>
        </w:numPr>
        <w:spacing w:after="40"/>
      </w:pPr>
      <w:r>
        <w:rPr>
          <w:rFonts w:ascii="Calibri" w:cs="Calibri" w:eastAsia="Calibri" w:hAnsi="Calibri"/>
          <w:sz w:val="24"/>
          <w:szCs w:val="24"/>
        </w:rPr>
        <w:t xml:space="preserve">Integrate emerging technologies such as AI, IoT, robotics, and cybersecurity into the curriculum.</w:t>
      </w:r>
    </w:p>
    <w:p>
      <w:pPr>
        <w:pStyle w:val="ListParagraph"/>
        <w:numPr>
          <w:ilvl w:val="0"/>
          <w:numId w:val="2"/>
        </w:numPr>
        <w:spacing w:after="40"/>
      </w:pPr>
      <w:r>
        <w:rPr>
          <w:rFonts w:ascii="Calibri" w:cs="Calibri" w:eastAsia="Calibri" w:hAnsi="Calibri"/>
          <w:sz w:val="24"/>
          <w:szCs w:val="24"/>
        </w:rPr>
        <w:t xml:space="preserve">Foster interdisciplinary learning and technical problem-solving skills in line with Bologna Process requirements.</w:t>
      </w:r>
    </w:p>
    <w:p>
      <w:pPr>
        <w:spacing w:after="40" w:before="120"/>
      </w:pPr>
      <w:r>
        <w:rPr>
          <w:rFonts w:ascii="Calibri" w:cs="Calibri" w:eastAsia="Calibri" w:hAnsi="Calibri"/>
          <w:b/>
          <w:bCs/>
          <w:color w:val="9A3318"/>
          <w:sz w:val="24"/>
          <w:szCs w:val="24"/>
        </w:rPr>
        <w:t xml:space="preserve">✅ 2. Practical Training and Skill Development</w:t>
      </w:r>
    </w:p>
    <w:p>
      <w:pPr>
        <w:pStyle w:val="ListParagraph"/>
        <w:numPr>
          <w:ilvl w:val="0"/>
          <w:numId w:val="2"/>
        </w:numPr>
        <w:spacing w:after="40"/>
      </w:pPr>
      <w:r>
        <w:rPr>
          <w:rFonts w:ascii="Calibri" w:cs="Calibri" w:eastAsia="Calibri" w:hAnsi="Calibri"/>
          <w:sz w:val="24"/>
          <w:szCs w:val="24"/>
        </w:rPr>
        <w:t xml:space="preserve">Provide hands-on experience in modern computing, electronics, and networking laboratories.</w:t>
      </w:r>
    </w:p>
    <w:p>
      <w:pPr>
        <w:pStyle w:val="ListParagraph"/>
        <w:numPr>
          <w:ilvl w:val="0"/>
          <w:numId w:val="2"/>
        </w:numPr>
        <w:spacing w:after="40"/>
      </w:pPr>
      <w:r>
        <w:rPr>
          <w:rFonts w:ascii="Calibri" w:cs="Calibri" w:eastAsia="Calibri" w:hAnsi="Calibri"/>
          <w:sz w:val="24"/>
          <w:szCs w:val="24"/>
        </w:rPr>
        <w:t xml:space="preserve">Offer internship opportunities with technology and telecommunication industry partners.</w:t>
      </w:r>
    </w:p>
    <w:p>
      <w:pPr>
        <w:pStyle w:val="ListParagraph"/>
        <w:numPr>
          <w:ilvl w:val="0"/>
          <w:numId w:val="2"/>
        </w:numPr>
        <w:spacing w:after="40"/>
      </w:pPr>
      <w:r>
        <w:rPr>
          <w:rFonts w:ascii="Calibri" w:cs="Calibri" w:eastAsia="Calibri" w:hAnsi="Calibri"/>
          <w:sz w:val="24"/>
          <w:szCs w:val="24"/>
        </w:rPr>
        <w:t xml:space="preserve">Strengthen students' technical proficiency through capstone projects and applied engineering challenges.</w:t>
      </w:r>
    </w:p>
    <w:p>
      <w:pPr>
        <w:spacing w:after="40" w:before="120"/>
      </w:pPr>
      <w:r>
        <w:rPr>
          <w:rFonts w:ascii="Calibri" w:cs="Calibri" w:eastAsia="Calibri" w:hAnsi="Calibri"/>
          <w:b/>
          <w:bCs/>
          <w:color w:val="9A3318"/>
          <w:sz w:val="24"/>
          <w:szCs w:val="24"/>
        </w:rPr>
        <w:t xml:space="preserve">✅ 3. Research and Scientific Advancement</w:t>
      </w:r>
    </w:p>
    <w:p>
      <w:pPr>
        <w:pStyle w:val="ListParagraph"/>
        <w:numPr>
          <w:ilvl w:val="0"/>
          <w:numId w:val="2"/>
        </w:numPr>
        <w:spacing w:after="40"/>
      </w:pPr>
      <w:r>
        <w:rPr>
          <w:rFonts w:ascii="Calibri" w:cs="Calibri" w:eastAsia="Calibri" w:hAnsi="Calibri"/>
          <w:sz w:val="24"/>
          <w:szCs w:val="24"/>
        </w:rPr>
        <w:t xml:space="preserve">Promote faculty and student-led research in AI, IoT, communications, and intelligent systems.</w:t>
      </w:r>
    </w:p>
    <w:p>
      <w:pPr>
        <w:pStyle w:val="ListParagraph"/>
        <w:numPr>
          <w:ilvl w:val="0"/>
          <w:numId w:val="2"/>
        </w:numPr>
        <w:spacing w:after="40"/>
      </w:pPr>
      <w:r>
        <w:rPr>
          <w:rFonts w:ascii="Calibri" w:cs="Calibri" w:eastAsia="Calibri" w:hAnsi="Calibri"/>
          <w:sz w:val="24"/>
          <w:szCs w:val="24"/>
        </w:rPr>
        <w:t xml:space="preserve">Support publication of technical papers in peer-reviewed journals and IEEE venues.</w:t>
      </w:r>
    </w:p>
    <w:p>
      <w:pPr>
        <w:pStyle w:val="ListParagraph"/>
        <w:numPr>
          <w:ilvl w:val="0"/>
          <w:numId w:val="2"/>
        </w:numPr>
        <w:spacing w:after="40"/>
      </w:pPr>
      <w:r>
        <w:rPr>
          <w:rFonts w:ascii="Calibri" w:cs="Calibri" w:eastAsia="Calibri" w:hAnsi="Calibri"/>
          <w:sz w:val="24"/>
          <w:szCs w:val="24"/>
        </w:rPr>
        <w:t xml:space="preserve">Establish collaborative research projects with local and international institutions.</w:t>
      </w:r>
    </w:p>
    <w:p>
      <w:pPr>
        <w:spacing w:after="40" w:before="120"/>
      </w:pPr>
      <w:r>
        <w:rPr>
          <w:rFonts w:ascii="Calibri" w:cs="Calibri" w:eastAsia="Calibri" w:hAnsi="Calibri"/>
          <w:b/>
          <w:bCs/>
          <w:color w:val="9A3318"/>
          <w:sz w:val="24"/>
          <w:szCs w:val="24"/>
        </w:rPr>
        <w:t xml:space="preserve">✅ 4. Industry Partnerships and Technological Impact</w:t>
      </w:r>
    </w:p>
    <w:p>
      <w:pPr>
        <w:pStyle w:val="ListParagraph"/>
        <w:numPr>
          <w:ilvl w:val="0"/>
          <w:numId w:val="2"/>
        </w:numPr>
        <w:spacing w:after="40"/>
      </w:pPr>
      <w:r>
        <w:rPr>
          <w:rFonts w:ascii="Calibri" w:cs="Calibri" w:eastAsia="Calibri" w:hAnsi="Calibri"/>
          <w:sz w:val="24"/>
          <w:szCs w:val="24"/>
        </w:rPr>
        <w:t xml:space="preserve">Build strong collaborations with telecommunication, IT, and software companies to enhance employability.</w:t>
      </w:r>
    </w:p>
    <w:p>
      <w:pPr>
        <w:pStyle w:val="ListParagraph"/>
        <w:numPr>
          <w:ilvl w:val="0"/>
          <w:numId w:val="2"/>
        </w:numPr>
        <w:spacing w:after="40"/>
      </w:pPr>
      <w:r>
        <w:rPr>
          <w:rFonts w:ascii="Calibri" w:cs="Calibri" w:eastAsia="Calibri" w:hAnsi="Calibri"/>
          <w:sz w:val="24"/>
          <w:szCs w:val="24"/>
        </w:rPr>
        <w:t xml:space="preserve">Promote joint research initiatives and industry-sponsored student projects.</w:t>
      </w:r>
    </w:p>
    <w:p>
      <w:pPr>
        <w:pStyle w:val="ListParagraph"/>
        <w:numPr>
          <w:ilvl w:val="0"/>
          <w:numId w:val="2"/>
        </w:numPr>
        <w:spacing w:after="40"/>
      </w:pPr>
      <w:r>
        <w:rPr>
          <w:rFonts w:ascii="Calibri" w:cs="Calibri" w:eastAsia="Calibri" w:hAnsi="Calibri"/>
          <w:sz w:val="24"/>
          <w:szCs w:val="24"/>
        </w:rPr>
        <w:t xml:space="preserve">Offer technical consultancy services to local and regional industries.</w:t>
      </w:r>
    </w:p>
    <w:p>
      <w:pPr>
        <w:spacing w:after="40" w:before="120"/>
      </w:pPr>
      <w:r>
        <w:rPr>
          <w:rFonts w:ascii="Calibri" w:cs="Calibri" w:eastAsia="Calibri" w:hAnsi="Calibri"/>
          <w:b/>
          <w:bCs/>
          <w:color w:val="9A3318"/>
          <w:sz w:val="24"/>
          <w:szCs w:val="24"/>
        </w:rPr>
        <w:t xml:space="preserve">✅ 5. Student Success and Career Development</w:t>
      </w:r>
    </w:p>
    <w:p>
      <w:pPr>
        <w:pStyle w:val="ListParagraph"/>
        <w:numPr>
          <w:ilvl w:val="0"/>
          <w:numId w:val="2"/>
        </w:numPr>
        <w:spacing w:after="40"/>
      </w:pPr>
      <w:r>
        <w:rPr>
          <w:rFonts w:ascii="Calibri" w:cs="Calibri" w:eastAsia="Calibri" w:hAnsi="Calibri"/>
          <w:sz w:val="24"/>
          <w:szCs w:val="24"/>
        </w:rPr>
        <w:t xml:space="preserve">Strengthen career services with technical mentorship programmes and job placements.</w:t>
      </w:r>
    </w:p>
    <w:p>
      <w:pPr>
        <w:pStyle w:val="ListParagraph"/>
        <w:numPr>
          <w:ilvl w:val="0"/>
          <w:numId w:val="2"/>
        </w:numPr>
        <w:spacing w:after="40"/>
      </w:pPr>
      <w:r>
        <w:rPr>
          <w:rFonts w:ascii="Calibri" w:cs="Calibri" w:eastAsia="Calibri" w:hAnsi="Calibri"/>
          <w:sz w:val="24"/>
          <w:szCs w:val="24"/>
        </w:rPr>
        <w:t xml:space="preserve">Offer workshops and professional certifications in networking, programming, and emerging technologies.</w:t>
      </w:r>
    </w:p>
    <w:p>
      <w:pPr>
        <w:pStyle w:val="ListParagraph"/>
        <w:numPr>
          <w:ilvl w:val="0"/>
          <w:numId w:val="2"/>
        </w:numPr>
        <w:spacing w:after="40"/>
      </w:pPr>
      <w:r>
        <w:rPr>
          <w:rFonts w:ascii="Calibri" w:cs="Calibri" w:eastAsia="Calibri" w:hAnsi="Calibri"/>
          <w:sz w:val="24"/>
          <w:szCs w:val="24"/>
        </w:rPr>
        <w:t xml:space="preserve">Foster alumni networks to support graduates' career growth.</w:t>
      </w:r>
    </w:p>
    <w:p>
      <w:pPr>
        <w:spacing w:after="40" w:before="120"/>
      </w:pPr>
      <w:r>
        <w:rPr>
          <w:rFonts w:ascii="Calibri" w:cs="Calibri" w:eastAsia="Calibri" w:hAnsi="Calibri"/>
          <w:b/>
          <w:bCs/>
          <w:color w:val="9A3318"/>
          <w:sz w:val="24"/>
          <w:szCs w:val="24"/>
        </w:rPr>
        <w:t xml:space="preserve">✅ 6. Quality Assurance and Global Accreditation</w:t>
      </w:r>
    </w:p>
    <w:p>
      <w:pPr>
        <w:pStyle w:val="ListParagraph"/>
        <w:numPr>
          <w:ilvl w:val="0"/>
          <w:numId w:val="2"/>
        </w:numPr>
        <w:spacing w:after="40"/>
      </w:pPr>
      <w:r>
        <w:rPr>
          <w:rFonts w:ascii="Calibri" w:cs="Calibri" w:eastAsia="Calibri" w:hAnsi="Calibri"/>
          <w:sz w:val="24"/>
          <w:szCs w:val="24"/>
        </w:rPr>
        <w:t xml:space="preserve">Ensure compliance with MoHESR standards and pursue internationally recognized engineering accreditation.</w:t>
      </w:r>
    </w:p>
    <w:p>
      <w:pPr>
        <w:pStyle w:val="ListParagraph"/>
        <w:numPr>
          <w:ilvl w:val="0"/>
          <w:numId w:val="2"/>
        </w:numPr>
        <w:spacing w:after="40"/>
      </w:pPr>
      <w:r>
        <w:rPr>
          <w:rFonts w:ascii="Calibri" w:cs="Calibri" w:eastAsia="Calibri" w:hAnsi="Calibri"/>
          <w:sz w:val="24"/>
          <w:szCs w:val="24"/>
        </w:rPr>
        <w:t xml:space="preserve">Implement outcome-based education and continuous quality improvement in all programmes.</w:t>
      </w:r>
    </w:p>
    <w:p>
      <w:pPr>
        <w:pStyle w:val="ListParagraph"/>
        <w:numPr>
          <w:ilvl w:val="0"/>
          <w:numId w:val="2"/>
        </w:numPr>
        <w:spacing w:after="40"/>
      </w:pPr>
      <w:r>
        <w:rPr>
          <w:rFonts w:ascii="Calibri" w:cs="Calibri" w:eastAsia="Calibri" w:hAnsi="Calibri"/>
          <w:sz w:val="24"/>
          <w:szCs w:val="24"/>
        </w:rPr>
        <w:t xml:space="preserve">Adopt best practices in engineering education and assessment.</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Embed green computing, energy-efficient systems, and e-waste awareness in the curriculum.</w:t>
      </w:r>
    </w:p>
    <w:p>
      <w:pPr>
        <w:pStyle w:val="ListParagraph"/>
        <w:numPr>
          <w:ilvl w:val="0"/>
          <w:numId w:val="2"/>
        </w:numPr>
        <w:spacing w:after="40"/>
      </w:pPr>
      <w:r>
        <w:rPr>
          <w:rFonts w:ascii="Calibri" w:cs="Calibri" w:eastAsia="Calibri" w:hAnsi="Calibri"/>
          <w:sz w:val="24"/>
          <w:szCs w:val="24"/>
        </w:rPr>
        <w:t xml:space="preserve">Expand AI, machine learning, and intelligent-systems content and laboratories.</w:t>
      </w:r>
    </w:p>
    <w:p>
      <w:pPr>
        <w:pStyle w:val="ListParagraph"/>
        <w:numPr>
          <w:ilvl w:val="0"/>
          <w:numId w:val="2"/>
        </w:numPr>
        <w:spacing w:after="40"/>
      </w:pPr>
      <w:r>
        <w:rPr>
          <w:rFonts w:ascii="Calibri" w:cs="Calibri" w:eastAsia="Calibri" w:hAnsi="Calibri"/>
          <w:sz w:val="24"/>
          <w:szCs w:val="24"/>
        </w:rPr>
        <w:t xml:space="preserve">Direct student projects toward smart, sustainable solutions for Mosul's infrastructure.</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Computer Technology Engineering programme define the engineering knowledge, practical skills, and professional attributes of its graduates. Formulated according to the outcome-based approach of the Bologna Process and the Iraq National Qualifications Framework, they address the demands of Iraq's digital transformation and the modernization of infrastructure and services in Mosul's public and private sectors.</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mathematics, science, and engineering fundamentals to analyze and solve problems in computer and communication systems.</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Design and implement computer systems, networks, and embedded solutions that meet the needs of Iraqi institutions and industries.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Use modern engineering tools and emerging technologies (AI, IoT, cybersecurity) to deliver digital transformation projects in Mosul's public and private sectors.</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Diagnose, maintain, and secure computer and network infrastructure to professional and safety standards.</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teamwork, professional ethics, effective communication, and a commitment to lifelong learning in engineering practice.</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Design and deploy artificial intelligence and machine-learning solutions for engineering applications.</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green computing and energy-efficient design principles in computer and communication systems.</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system and sensor data to optimize performance and resource consumption.</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Develop smart, sustainable IoT solutions for cities, utilities, and industry in Iraq.</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Demonstrate green engineering responsibility and contribute to the SDGs through technology.</w:t>
      </w:r>
    </w:p>
    <w:p>
      <w:pPr>
        <w:pStyle w:val="Heading2"/>
        <w:spacing w:before="240"/>
      </w:pPr>
      <w:r>
        <w:rPr>
          <w:rFonts w:ascii="Calibri" w:cs="Calibri" w:eastAsia="Calibri" w:hAnsi="Calibri"/>
        </w:rPr>
        <w:t xml:space="preserve">Department of Medical Equipment Technology Engineering (DMEE)</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Medical Equipment Technology Engineering programme as offered by Al-Hadba University under the supervision of the Ministry of Higher Education and Scientific Research (MoHESR). The programme leads to the award of Bachelor of Science (B.Sc.) in Medical Equipment Technology Engineering after 4 academic years of full-time study, and is delivered through the Bologna Process, with a two-semester structure, 240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Technical Engineering</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Medical Equipment Technology Engineering</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DMEE</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AHU14300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Medical Equipment Technology Engineering</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240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medical equipment and biomedical engineering technology, recognized for producing skilled, innovative engineers who ensure the safe, effective, and advanced application of medical technology in support of healthcare excellence in Iraq and beyond.</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Medical Equipment Technology Engineering at AHU is committed to:</w:t>
      </w:r>
    </w:p>
    <w:p>
      <w:pPr>
        <w:pStyle w:val="ListParagraph"/>
        <w:numPr>
          <w:ilvl w:val="0"/>
          <w:numId w:val="2"/>
        </w:numPr>
        <w:spacing w:after="40"/>
      </w:pPr>
      <w:r>
        <w:rPr>
          <w:rFonts w:ascii="Calibri" w:cs="Calibri" w:eastAsia="Calibri" w:hAnsi="Calibri"/>
          <w:sz w:val="24"/>
          <w:szCs w:val="24"/>
        </w:rPr>
        <w:t xml:space="preserve">Delivering high-quality education in medical equipment technology that bridges engineering and healthcare.</w:t>
      </w:r>
    </w:p>
    <w:p>
      <w:pPr>
        <w:pStyle w:val="ListParagraph"/>
        <w:numPr>
          <w:ilvl w:val="0"/>
          <w:numId w:val="2"/>
        </w:numPr>
        <w:spacing w:after="40"/>
      </w:pPr>
      <w:r>
        <w:rPr>
          <w:rFonts w:ascii="Calibri" w:cs="Calibri" w:eastAsia="Calibri" w:hAnsi="Calibri"/>
          <w:sz w:val="24"/>
          <w:szCs w:val="24"/>
        </w:rPr>
        <w:t xml:space="preserve">Preparing competent engineers skilled in the operation, maintenance, and management of medical technologies.</w:t>
      </w:r>
    </w:p>
    <w:p>
      <w:pPr>
        <w:pStyle w:val="ListParagraph"/>
        <w:numPr>
          <w:ilvl w:val="0"/>
          <w:numId w:val="2"/>
        </w:numPr>
        <w:spacing w:after="40"/>
      </w:pPr>
      <w:r>
        <w:rPr>
          <w:rFonts w:ascii="Calibri" w:cs="Calibri" w:eastAsia="Calibri" w:hAnsi="Calibri"/>
          <w:sz w:val="24"/>
          <w:szCs w:val="24"/>
        </w:rPr>
        <w:t xml:space="preserve">Advancing research in biomedical engineering and medical device innovation.</w:t>
      </w:r>
    </w:p>
    <w:p>
      <w:pPr>
        <w:pStyle w:val="ListParagraph"/>
        <w:numPr>
          <w:ilvl w:val="0"/>
          <w:numId w:val="2"/>
        </w:numPr>
        <w:spacing w:after="40"/>
      </w:pPr>
      <w:r>
        <w:rPr>
          <w:rFonts w:ascii="Calibri" w:cs="Calibri" w:eastAsia="Calibri" w:hAnsi="Calibri"/>
          <w:sz w:val="24"/>
          <w:szCs w:val="24"/>
        </w:rPr>
        <w:t xml:space="preserve">Supporting the health sector through technical consultancy and equipment-safety expertise.</w:t>
      </w:r>
    </w:p>
    <w:p>
      <w:pPr>
        <w:pStyle w:val="ListParagraph"/>
        <w:numPr>
          <w:ilvl w:val="0"/>
          <w:numId w:val="2"/>
        </w:numPr>
        <w:spacing w:after="40"/>
      </w:pPr>
      <w:r>
        <w:rPr>
          <w:rFonts w:ascii="Calibri" w:cs="Calibri" w:eastAsia="Calibri" w:hAnsi="Calibri"/>
          <w:sz w:val="24"/>
          <w:szCs w:val="24"/>
        </w:rPr>
        <w:t xml:space="preserve">Strengthening partnerships with hospitals and the medical device industry to enhance training and careers.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Innovation</w:t>
      </w:r>
    </w:p>
    <w:p>
      <w:pPr>
        <w:pStyle w:val="ListParagraph"/>
        <w:numPr>
          <w:ilvl w:val="0"/>
          <w:numId w:val="2"/>
        </w:numPr>
        <w:spacing w:after="40"/>
      </w:pPr>
      <w:r>
        <w:rPr>
          <w:rFonts w:ascii="Calibri" w:cs="Calibri" w:eastAsia="Calibri" w:hAnsi="Calibri"/>
          <w:sz w:val="24"/>
          <w:szCs w:val="24"/>
        </w:rPr>
        <w:t xml:space="preserve">Deliver modern programmes in medical instrumentation, medical imaging, and biomedical systems aligned with global standards.</w:t>
      </w:r>
    </w:p>
    <w:p>
      <w:pPr>
        <w:pStyle w:val="ListParagraph"/>
        <w:numPr>
          <w:ilvl w:val="0"/>
          <w:numId w:val="2"/>
        </w:numPr>
        <w:spacing w:after="40"/>
      </w:pPr>
      <w:r>
        <w:rPr>
          <w:rFonts w:ascii="Calibri" w:cs="Calibri" w:eastAsia="Calibri" w:hAnsi="Calibri"/>
          <w:sz w:val="24"/>
          <w:szCs w:val="24"/>
        </w:rPr>
        <w:t xml:space="preserve">Integrate emerging health technologies such as AI-assisted diagnostics, telemedicine, and smart medical devices into the curriculum.</w:t>
      </w:r>
    </w:p>
    <w:p>
      <w:pPr>
        <w:pStyle w:val="ListParagraph"/>
        <w:numPr>
          <w:ilvl w:val="0"/>
          <w:numId w:val="2"/>
        </w:numPr>
        <w:spacing w:after="40"/>
      </w:pPr>
      <w:r>
        <w:rPr>
          <w:rFonts w:ascii="Calibri" w:cs="Calibri" w:eastAsia="Calibri" w:hAnsi="Calibri"/>
          <w:sz w:val="24"/>
          <w:szCs w:val="24"/>
        </w:rPr>
        <w:t xml:space="preserve">Foster interdisciplinary learning across engineering, medicine, and healthcare technology.</w:t>
      </w:r>
    </w:p>
    <w:p>
      <w:pPr>
        <w:spacing w:after="40" w:before="120"/>
      </w:pPr>
      <w:r>
        <w:rPr>
          <w:rFonts w:ascii="Calibri" w:cs="Calibri" w:eastAsia="Calibri" w:hAnsi="Calibri"/>
          <w:b/>
          <w:bCs/>
          <w:color w:val="9A3318"/>
          <w:sz w:val="24"/>
          <w:szCs w:val="24"/>
        </w:rPr>
        <w:t xml:space="preserve">✅ 2. Practical Training and Skill Development</w:t>
      </w:r>
    </w:p>
    <w:p>
      <w:pPr>
        <w:pStyle w:val="ListParagraph"/>
        <w:numPr>
          <w:ilvl w:val="0"/>
          <w:numId w:val="2"/>
        </w:numPr>
        <w:spacing w:after="40"/>
      </w:pPr>
      <w:r>
        <w:rPr>
          <w:rFonts w:ascii="Calibri" w:cs="Calibri" w:eastAsia="Calibri" w:hAnsi="Calibri"/>
          <w:sz w:val="24"/>
          <w:szCs w:val="24"/>
        </w:rPr>
        <w:t xml:space="preserve">Provide hands-on experience in modern biomedical engineering laboratories with advanced equipment.</w:t>
      </w:r>
    </w:p>
    <w:p>
      <w:pPr>
        <w:pStyle w:val="ListParagraph"/>
        <w:numPr>
          <w:ilvl w:val="0"/>
          <w:numId w:val="2"/>
        </w:numPr>
        <w:spacing w:after="40"/>
      </w:pPr>
      <w:r>
        <w:rPr>
          <w:rFonts w:ascii="Calibri" w:cs="Calibri" w:eastAsia="Calibri" w:hAnsi="Calibri"/>
          <w:sz w:val="24"/>
          <w:szCs w:val="24"/>
        </w:rPr>
        <w:t xml:space="preserve">Offer clinical training and internships in hospitals and medical centres focused on equipment operation, maintenance, and calibration.</w:t>
      </w:r>
    </w:p>
    <w:p>
      <w:pPr>
        <w:pStyle w:val="ListParagraph"/>
        <w:numPr>
          <w:ilvl w:val="0"/>
          <w:numId w:val="2"/>
        </w:numPr>
        <w:spacing w:after="40"/>
      </w:pPr>
      <w:r>
        <w:rPr>
          <w:rFonts w:ascii="Calibri" w:cs="Calibri" w:eastAsia="Calibri" w:hAnsi="Calibri"/>
          <w:sz w:val="24"/>
          <w:szCs w:val="24"/>
        </w:rPr>
        <w:t xml:space="preserve">Enhance students' troubleshooting, safety, and technical management capabilities.</w:t>
      </w:r>
    </w:p>
    <w:p>
      <w:pPr>
        <w:spacing w:after="40" w:before="120"/>
      </w:pPr>
      <w:r>
        <w:rPr>
          <w:rFonts w:ascii="Calibri" w:cs="Calibri" w:eastAsia="Calibri" w:hAnsi="Calibri"/>
          <w:b/>
          <w:bCs/>
          <w:color w:val="9A3318"/>
          <w:sz w:val="24"/>
          <w:szCs w:val="24"/>
        </w:rPr>
        <w:t xml:space="preserve">✅ 3. Research and Scientific Advancement</w:t>
      </w:r>
    </w:p>
    <w:p>
      <w:pPr>
        <w:pStyle w:val="ListParagraph"/>
        <w:numPr>
          <w:ilvl w:val="0"/>
          <w:numId w:val="2"/>
        </w:numPr>
        <w:spacing w:after="40"/>
      </w:pPr>
      <w:r>
        <w:rPr>
          <w:rFonts w:ascii="Calibri" w:cs="Calibri" w:eastAsia="Calibri" w:hAnsi="Calibri"/>
          <w:sz w:val="24"/>
          <w:szCs w:val="24"/>
        </w:rPr>
        <w:t xml:space="preserve">Promote faculty and student-led research in medical device innovation, biomedical signal processing, and healthcare technology.</w:t>
      </w:r>
    </w:p>
    <w:p>
      <w:pPr>
        <w:pStyle w:val="ListParagraph"/>
        <w:numPr>
          <w:ilvl w:val="0"/>
          <w:numId w:val="2"/>
        </w:numPr>
        <w:spacing w:after="40"/>
      </w:pPr>
      <w:r>
        <w:rPr>
          <w:rFonts w:ascii="Calibri" w:cs="Calibri" w:eastAsia="Calibri" w:hAnsi="Calibri"/>
          <w:sz w:val="24"/>
          <w:szCs w:val="24"/>
        </w:rPr>
        <w:t xml:space="preserve">Support publication of technical papers in peer-reviewed biomedical engineering journals.</w:t>
      </w:r>
    </w:p>
    <w:p>
      <w:pPr>
        <w:pStyle w:val="ListParagraph"/>
        <w:numPr>
          <w:ilvl w:val="0"/>
          <w:numId w:val="2"/>
        </w:numPr>
        <w:spacing w:after="40"/>
      </w:pPr>
      <w:r>
        <w:rPr>
          <w:rFonts w:ascii="Calibri" w:cs="Calibri" w:eastAsia="Calibri" w:hAnsi="Calibri"/>
          <w:sz w:val="24"/>
          <w:szCs w:val="24"/>
        </w:rPr>
        <w:t xml:space="preserve">Establish collaborative research projects with hospitals and international institutions.</w:t>
      </w:r>
    </w:p>
    <w:p>
      <w:pPr>
        <w:spacing w:after="40" w:before="120"/>
      </w:pPr>
      <w:r>
        <w:rPr>
          <w:rFonts w:ascii="Calibri" w:cs="Calibri" w:eastAsia="Calibri" w:hAnsi="Calibri"/>
          <w:b/>
          <w:bCs/>
          <w:color w:val="9A3318"/>
          <w:sz w:val="24"/>
          <w:szCs w:val="24"/>
        </w:rPr>
        <w:t xml:space="preserve">✅ 4. Industry and Healthcare Partnerships</w:t>
      </w:r>
    </w:p>
    <w:p>
      <w:pPr>
        <w:pStyle w:val="ListParagraph"/>
        <w:numPr>
          <w:ilvl w:val="0"/>
          <w:numId w:val="2"/>
        </w:numPr>
        <w:spacing w:after="40"/>
      </w:pPr>
      <w:r>
        <w:rPr>
          <w:rFonts w:ascii="Calibri" w:cs="Calibri" w:eastAsia="Calibri" w:hAnsi="Calibri"/>
          <w:sz w:val="24"/>
          <w:szCs w:val="24"/>
        </w:rPr>
        <w:t xml:space="preserve">Build strong collaborations with hospitals, medical device suppliers, and healthcare institutions.</w:t>
      </w:r>
    </w:p>
    <w:p>
      <w:pPr>
        <w:pStyle w:val="ListParagraph"/>
        <w:numPr>
          <w:ilvl w:val="0"/>
          <w:numId w:val="2"/>
        </w:numPr>
        <w:spacing w:after="40"/>
      </w:pPr>
      <w:r>
        <w:rPr>
          <w:rFonts w:ascii="Calibri" w:cs="Calibri" w:eastAsia="Calibri" w:hAnsi="Calibri"/>
          <w:sz w:val="24"/>
          <w:szCs w:val="24"/>
        </w:rPr>
        <w:t xml:space="preserve">Promote joint initiatives on medical equipment management, safety, and lifecycle planning.</w:t>
      </w:r>
    </w:p>
    <w:p>
      <w:pPr>
        <w:pStyle w:val="ListParagraph"/>
        <w:numPr>
          <w:ilvl w:val="0"/>
          <w:numId w:val="2"/>
        </w:numPr>
        <w:spacing w:after="40"/>
      </w:pPr>
      <w:r>
        <w:rPr>
          <w:rFonts w:ascii="Calibri" w:cs="Calibri" w:eastAsia="Calibri" w:hAnsi="Calibri"/>
          <w:sz w:val="24"/>
          <w:szCs w:val="24"/>
        </w:rPr>
        <w:t xml:space="preserve">Offer technical consultancy services in medical equipment assessment and maintenance to the health sector.</w:t>
      </w:r>
    </w:p>
    <w:p>
      <w:pPr>
        <w:spacing w:after="40" w:before="120"/>
      </w:pPr>
      <w:r>
        <w:rPr>
          <w:rFonts w:ascii="Calibri" w:cs="Calibri" w:eastAsia="Calibri" w:hAnsi="Calibri"/>
          <w:b/>
          <w:bCs/>
          <w:color w:val="9A3318"/>
          <w:sz w:val="24"/>
          <w:szCs w:val="24"/>
        </w:rPr>
        <w:t xml:space="preserve">✅ 5. Student Success and Career Development</w:t>
      </w:r>
    </w:p>
    <w:p>
      <w:pPr>
        <w:pStyle w:val="ListParagraph"/>
        <w:numPr>
          <w:ilvl w:val="0"/>
          <w:numId w:val="2"/>
        </w:numPr>
        <w:spacing w:after="40"/>
      </w:pPr>
      <w:r>
        <w:rPr>
          <w:rFonts w:ascii="Calibri" w:cs="Calibri" w:eastAsia="Calibri" w:hAnsi="Calibri"/>
          <w:sz w:val="24"/>
          <w:szCs w:val="24"/>
        </w:rPr>
        <w:t xml:space="preserve">Strengthen career services with mentorship programmes and job placements in the healthcare technology sector.</w:t>
      </w:r>
    </w:p>
    <w:p>
      <w:pPr>
        <w:pStyle w:val="ListParagraph"/>
        <w:numPr>
          <w:ilvl w:val="0"/>
          <w:numId w:val="2"/>
        </w:numPr>
        <w:spacing w:after="40"/>
      </w:pPr>
      <w:r>
        <w:rPr>
          <w:rFonts w:ascii="Calibri" w:cs="Calibri" w:eastAsia="Calibri" w:hAnsi="Calibri"/>
          <w:sz w:val="24"/>
          <w:szCs w:val="24"/>
        </w:rPr>
        <w:t xml:space="preserve">Offer workshops and certifications in clinical engineering, equipment safety, and quality standards.</w:t>
      </w:r>
    </w:p>
    <w:p>
      <w:pPr>
        <w:pStyle w:val="ListParagraph"/>
        <w:numPr>
          <w:ilvl w:val="0"/>
          <w:numId w:val="2"/>
        </w:numPr>
        <w:spacing w:after="40"/>
      </w:pPr>
      <w:r>
        <w:rPr>
          <w:rFonts w:ascii="Calibri" w:cs="Calibri" w:eastAsia="Calibri" w:hAnsi="Calibri"/>
          <w:sz w:val="24"/>
          <w:szCs w:val="24"/>
        </w:rPr>
        <w:t xml:space="preserve">Foster alumni networks to support graduates' career growth.</w:t>
      </w:r>
    </w:p>
    <w:p>
      <w:pPr>
        <w:spacing w:after="40" w:before="120"/>
      </w:pPr>
      <w:r>
        <w:rPr>
          <w:rFonts w:ascii="Calibri" w:cs="Calibri" w:eastAsia="Calibri" w:hAnsi="Calibri"/>
          <w:b/>
          <w:bCs/>
          <w:color w:val="9A3318"/>
          <w:sz w:val="24"/>
          <w:szCs w:val="24"/>
        </w:rPr>
        <w:t xml:space="preserve">✅ 6. Quality Assurance and Global Accreditation</w:t>
      </w:r>
    </w:p>
    <w:p>
      <w:pPr>
        <w:pStyle w:val="ListParagraph"/>
        <w:numPr>
          <w:ilvl w:val="0"/>
          <w:numId w:val="2"/>
        </w:numPr>
        <w:spacing w:after="40"/>
      </w:pPr>
      <w:r>
        <w:rPr>
          <w:rFonts w:ascii="Calibri" w:cs="Calibri" w:eastAsia="Calibri" w:hAnsi="Calibri"/>
          <w:sz w:val="24"/>
          <w:szCs w:val="24"/>
        </w:rPr>
        <w:t xml:space="preserve">Ensure compliance with MoHESR standards and pursue internationally recognized engineering accreditation.</w:t>
      </w:r>
    </w:p>
    <w:p>
      <w:pPr>
        <w:pStyle w:val="ListParagraph"/>
        <w:numPr>
          <w:ilvl w:val="0"/>
          <w:numId w:val="2"/>
        </w:numPr>
        <w:spacing w:after="40"/>
      </w:pPr>
      <w:r>
        <w:rPr>
          <w:rFonts w:ascii="Calibri" w:cs="Calibri" w:eastAsia="Calibri" w:hAnsi="Calibri"/>
          <w:sz w:val="24"/>
          <w:szCs w:val="24"/>
        </w:rPr>
        <w:t xml:space="preserve">Embed international medical device standards (IEC/ISO) into curriculum and laboratory practice.</w:t>
      </w:r>
    </w:p>
    <w:p>
      <w:pPr>
        <w:pStyle w:val="ListParagraph"/>
        <w:numPr>
          <w:ilvl w:val="0"/>
          <w:numId w:val="2"/>
        </w:numPr>
        <w:spacing w:after="40"/>
      </w:pPr>
      <w:r>
        <w:rPr>
          <w:rFonts w:ascii="Calibri" w:cs="Calibri" w:eastAsia="Calibri" w:hAnsi="Calibri"/>
          <w:sz w:val="24"/>
          <w:szCs w:val="24"/>
        </w:rPr>
        <w:t xml:space="preserve">Implement continuous quality improvement in academic programmes and clinical training.</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sustainable medical-equipment lifecycle management and medical e-waste handling into the curriculum.</w:t>
      </w:r>
    </w:p>
    <w:p>
      <w:pPr>
        <w:pStyle w:val="ListParagraph"/>
        <w:numPr>
          <w:ilvl w:val="0"/>
          <w:numId w:val="2"/>
        </w:numPr>
        <w:spacing w:after="40"/>
      </w:pPr>
      <w:r>
        <w:rPr>
          <w:rFonts w:ascii="Calibri" w:cs="Calibri" w:eastAsia="Calibri" w:hAnsi="Calibri"/>
          <w:sz w:val="24"/>
          <w:szCs w:val="24"/>
        </w:rPr>
        <w:t xml:space="preserve">Embed AI-assisted diagnostics and predictive-maintenance applications in teaching and training.</w:t>
      </w:r>
    </w:p>
    <w:p>
      <w:pPr>
        <w:pStyle w:val="ListParagraph"/>
        <w:numPr>
          <w:ilvl w:val="0"/>
          <w:numId w:val="2"/>
        </w:numPr>
        <w:spacing w:after="40"/>
      </w:pPr>
      <w:r>
        <w:rPr>
          <w:rFonts w:ascii="Calibri" w:cs="Calibri" w:eastAsia="Calibri" w:hAnsi="Calibri"/>
          <w:sz w:val="24"/>
          <w:szCs w:val="24"/>
        </w:rPr>
        <w:t xml:space="preserve">Promote energy-efficient, green hospital technology practices with healthcare partners.</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Medical Equipment Technology Engineering programme specify the competences graduates need at the intersection of engineering and healthcare. Developed in line with the Bologna Process and the Iraq National Qualifications Framework, they respond to the pressing need of hospitals and health centres in Mosul and Nineveh for qualified engineers who keep medical technology safe, functional, and up to date.</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engineering and biomedical fundamentals to analyze and solve problems related to medical equipment and instrumentation.</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Operate, maintain, calibrate, and repair medical devices in the hospitals and health centres of Mosul and Nineveh in accordance with safety standards.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Design and select appropriate medical technology solutions for healthcare facilities, taking local resources and conditions into account.</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Manage the medical-equipment lifecycle, including procurement, installation, and quality and safety compliance (IEC/ISO standards).</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effective communication with medical staff, teamwork, and a commitment to lifelong learning.</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Apply artificial intelligence in medical device diagnostics, imaging, and predictive maintenance.</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Implement energy-efficient and environmentally responsible management of medical equipment.</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equipment performance data to improve reliability, safety, and lifecycle sustainability.</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Develop innovative, sustainable biomedical engineering solutions for Iraqi healthcare facilities.</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green healthcare practices and contribute to the SDGs through responsible medical technology.</w:t>
      </w:r>
    </w:p>
    <w:p>
      <w:pPr>
        <w:pStyle w:val="Heading1"/>
        <w:pageBreakBefore/>
      </w:pPr>
      <w:r>
        <w:rPr>
          <w:rFonts w:ascii="Calibri" w:cs="Calibri" w:eastAsia="Calibri" w:hAnsi="Calibri"/>
        </w:rPr>
        <w:t xml:space="preserve">4. College of Health and Medical Techniques (CHMT)</w:t>
      </w:r>
    </w:p>
    <w:p>
      <w:pPr>
        <w:pStyle w:val="Heading2"/>
        <w:spacing w:before="240"/>
      </w:pPr>
      <w:r>
        <w:rPr>
          <w:rFonts w:ascii="Calibri" w:cs="Calibri" w:eastAsia="Calibri" w:hAnsi="Calibri"/>
        </w:rPr>
        <w:t xml:space="preserve">Department of Medical Laboratory Techniques (DMLT)</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Medical Laboratory Techniques programme as offered by Al-Hadba University under the supervision of the Ministry of Higher Education and Scientific Research (MoHESR). The programme leads to the award of Bachelor of Science (B.Sc.) in Medical Laboratory Techniques after 4 academic years of full-time study, and is delivered through the Iraqi academic teaching system and its course-unit framework, in accordance with MoHESR regulations.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Health and Medical Techniques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Medical Laboratory Techniques</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DMLT</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AHU15100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Medical Laboratory Techniques</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Iraqi academic teaching system (MoHESR)</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1 class hour/week = 1 unit, and 2 lab hours/week = 1 unit</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medical laboratory sciences education and research, recognized for producing highly skilled, ethical laboratory professionals who advance accurate diagnostics, patient safety, and public health in Iraq and beyond.</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Medical Laboratory Techniques at AHU is committed to:</w:t>
      </w:r>
    </w:p>
    <w:p>
      <w:pPr>
        <w:pStyle w:val="ListParagraph"/>
        <w:numPr>
          <w:ilvl w:val="0"/>
          <w:numId w:val="2"/>
        </w:numPr>
        <w:spacing w:after="40"/>
      </w:pPr>
      <w:r>
        <w:rPr>
          <w:rFonts w:ascii="Calibri" w:cs="Calibri" w:eastAsia="Calibri" w:hAnsi="Calibri"/>
          <w:sz w:val="24"/>
          <w:szCs w:val="24"/>
        </w:rPr>
        <w:t xml:space="preserve">Delivering high-quality medical laboratory education that combines clinical expertise with scientific research.</w:t>
      </w:r>
    </w:p>
    <w:p>
      <w:pPr>
        <w:pStyle w:val="ListParagraph"/>
        <w:numPr>
          <w:ilvl w:val="0"/>
          <w:numId w:val="2"/>
        </w:numPr>
        <w:spacing w:after="40"/>
      </w:pPr>
      <w:r>
        <w:rPr>
          <w:rFonts w:ascii="Calibri" w:cs="Calibri" w:eastAsia="Calibri" w:hAnsi="Calibri"/>
          <w:sz w:val="24"/>
          <w:szCs w:val="24"/>
        </w:rPr>
        <w:t xml:space="preserve">Preparing competent, ethical laboratory professionals dedicated to accurate diagnostics and patient safety.</w:t>
      </w:r>
    </w:p>
    <w:p>
      <w:pPr>
        <w:pStyle w:val="ListParagraph"/>
        <w:numPr>
          <w:ilvl w:val="0"/>
          <w:numId w:val="2"/>
        </w:numPr>
        <w:spacing w:after="40"/>
      </w:pPr>
      <w:r>
        <w:rPr>
          <w:rFonts w:ascii="Calibri" w:cs="Calibri" w:eastAsia="Calibri" w:hAnsi="Calibri"/>
          <w:sz w:val="24"/>
          <w:szCs w:val="24"/>
        </w:rPr>
        <w:t xml:space="preserve">Advancing scientific research that addresses diagnostic and public health challenges.</w:t>
      </w:r>
    </w:p>
    <w:p>
      <w:pPr>
        <w:pStyle w:val="ListParagraph"/>
        <w:numPr>
          <w:ilvl w:val="0"/>
          <w:numId w:val="2"/>
        </w:numPr>
        <w:spacing w:after="40"/>
      </w:pPr>
      <w:r>
        <w:rPr>
          <w:rFonts w:ascii="Calibri" w:cs="Calibri" w:eastAsia="Calibri" w:hAnsi="Calibri"/>
          <w:sz w:val="24"/>
          <w:szCs w:val="24"/>
        </w:rPr>
        <w:t xml:space="preserve">Promoting community health through screening campaigns and awareness programmes.</w:t>
      </w:r>
    </w:p>
    <w:p>
      <w:pPr>
        <w:pStyle w:val="ListParagraph"/>
        <w:numPr>
          <w:ilvl w:val="0"/>
          <w:numId w:val="2"/>
        </w:numPr>
        <w:spacing w:after="40"/>
      </w:pPr>
      <w:r>
        <w:rPr>
          <w:rFonts w:ascii="Calibri" w:cs="Calibri" w:eastAsia="Calibri" w:hAnsi="Calibri"/>
          <w:sz w:val="24"/>
          <w:szCs w:val="24"/>
        </w:rPr>
        <w:t xml:space="preserve">Fostering partnerships with hospitals and health institutions to enhance student training and career opportunities.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Innovation</w:t>
      </w:r>
    </w:p>
    <w:p>
      <w:pPr>
        <w:pStyle w:val="ListParagraph"/>
        <w:numPr>
          <w:ilvl w:val="0"/>
          <w:numId w:val="2"/>
        </w:numPr>
        <w:spacing w:after="40"/>
      </w:pPr>
      <w:r>
        <w:rPr>
          <w:rFonts w:ascii="Calibri" w:cs="Calibri" w:eastAsia="Calibri" w:hAnsi="Calibri"/>
          <w:sz w:val="24"/>
          <w:szCs w:val="24"/>
        </w:rPr>
        <w:t xml:space="preserve">Offer modern, evidence-based curricula in haematology, microbiology, clinical biochemistry, and molecular diagnostics.</w:t>
      </w:r>
    </w:p>
    <w:p>
      <w:pPr>
        <w:pStyle w:val="ListParagraph"/>
        <w:numPr>
          <w:ilvl w:val="0"/>
          <w:numId w:val="2"/>
        </w:numPr>
        <w:spacing w:after="40"/>
      </w:pPr>
      <w:r>
        <w:rPr>
          <w:rFonts w:ascii="Calibri" w:cs="Calibri" w:eastAsia="Calibri" w:hAnsi="Calibri"/>
          <w:sz w:val="24"/>
          <w:szCs w:val="24"/>
        </w:rPr>
        <w:t xml:space="preserve">Integrate emerging laboratory technologies and automation into the curriculum.</w:t>
      </w:r>
    </w:p>
    <w:p>
      <w:pPr>
        <w:pStyle w:val="ListParagraph"/>
        <w:numPr>
          <w:ilvl w:val="0"/>
          <w:numId w:val="2"/>
        </w:numPr>
        <w:spacing w:after="40"/>
      </w:pPr>
      <w:r>
        <w:rPr>
          <w:rFonts w:ascii="Calibri" w:cs="Calibri" w:eastAsia="Calibri" w:hAnsi="Calibri"/>
          <w:sz w:val="24"/>
          <w:szCs w:val="24"/>
        </w:rPr>
        <w:t xml:space="preserve">Foster analytical thinking, precision, and laboratory quality-management expertise.</w:t>
      </w:r>
    </w:p>
    <w:p>
      <w:pPr>
        <w:spacing w:after="40" w:before="120"/>
      </w:pPr>
      <w:r>
        <w:rPr>
          <w:rFonts w:ascii="Calibri" w:cs="Calibri" w:eastAsia="Calibri" w:hAnsi="Calibri"/>
          <w:b/>
          <w:bCs/>
          <w:color w:val="9A3318"/>
          <w:sz w:val="24"/>
          <w:szCs w:val="24"/>
        </w:rPr>
        <w:t xml:space="preserve">✅ 2. Practical Clinical Training and Skill Development</w:t>
      </w:r>
    </w:p>
    <w:p>
      <w:pPr>
        <w:pStyle w:val="ListParagraph"/>
        <w:numPr>
          <w:ilvl w:val="0"/>
          <w:numId w:val="2"/>
        </w:numPr>
        <w:spacing w:after="40"/>
      </w:pPr>
      <w:r>
        <w:rPr>
          <w:rFonts w:ascii="Calibri" w:cs="Calibri" w:eastAsia="Calibri" w:hAnsi="Calibri"/>
          <w:sz w:val="24"/>
          <w:szCs w:val="24"/>
        </w:rPr>
        <w:t xml:space="preserve">Provide extensive hands-on training in hospital and clinical laboratories.</w:t>
      </w:r>
    </w:p>
    <w:p>
      <w:pPr>
        <w:pStyle w:val="ListParagraph"/>
        <w:numPr>
          <w:ilvl w:val="0"/>
          <w:numId w:val="2"/>
        </w:numPr>
        <w:spacing w:after="40"/>
      </w:pPr>
      <w:r>
        <w:rPr>
          <w:rFonts w:ascii="Calibri" w:cs="Calibri" w:eastAsia="Calibri" w:hAnsi="Calibri"/>
          <w:sz w:val="24"/>
          <w:szCs w:val="24"/>
        </w:rPr>
        <w:t xml:space="preserve">Develop simulation-based and supervised practical modules to enhance diagnostic proficiency.</w:t>
      </w:r>
    </w:p>
    <w:p>
      <w:pPr>
        <w:pStyle w:val="ListParagraph"/>
        <w:numPr>
          <w:ilvl w:val="0"/>
          <w:numId w:val="2"/>
        </w:numPr>
        <w:spacing w:after="40"/>
      </w:pPr>
      <w:r>
        <w:rPr>
          <w:rFonts w:ascii="Calibri" w:cs="Calibri" w:eastAsia="Calibri" w:hAnsi="Calibri"/>
          <w:sz w:val="24"/>
          <w:szCs w:val="24"/>
        </w:rPr>
        <w:t xml:space="preserve">Strengthen students' competence in quality control, biosafety, and laboratory information systems.</w:t>
      </w:r>
    </w:p>
    <w:p>
      <w:pPr>
        <w:spacing w:after="40" w:before="120"/>
      </w:pPr>
      <w:r>
        <w:rPr>
          <w:rFonts w:ascii="Calibri" w:cs="Calibri" w:eastAsia="Calibri" w:hAnsi="Calibri"/>
          <w:b/>
          <w:bCs/>
          <w:color w:val="9A3318"/>
          <w:sz w:val="24"/>
          <w:szCs w:val="24"/>
        </w:rPr>
        <w:t xml:space="preserve">✅ 3. Research and Scientific Advancement</w:t>
      </w:r>
    </w:p>
    <w:p>
      <w:pPr>
        <w:pStyle w:val="ListParagraph"/>
        <w:numPr>
          <w:ilvl w:val="0"/>
          <w:numId w:val="2"/>
        </w:numPr>
        <w:spacing w:after="40"/>
      </w:pPr>
      <w:r>
        <w:rPr>
          <w:rFonts w:ascii="Calibri" w:cs="Calibri" w:eastAsia="Calibri" w:hAnsi="Calibri"/>
          <w:sz w:val="24"/>
          <w:szCs w:val="24"/>
        </w:rPr>
        <w:t xml:space="preserve">Promote faculty and student-led research in diagnostics, infectious diseases, and laboratory innovation.</w:t>
      </w:r>
    </w:p>
    <w:p>
      <w:pPr>
        <w:pStyle w:val="ListParagraph"/>
        <w:numPr>
          <w:ilvl w:val="0"/>
          <w:numId w:val="2"/>
        </w:numPr>
        <w:spacing w:after="40"/>
      </w:pPr>
      <w:r>
        <w:rPr>
          <w:rFonts w:ascii="Calibri" w:cs="Calibri" w:eastAsia="Calibri" w:hAnsi="Calibri"/>
          <w:sz w:val="24"/>
          <w:szCs w:val="24"/>
        </w:rPr>
        <w:t xml:space="preserve">Support publication of research findings in peer-reviewed journals.</w:t>
      </w:r>
    </w:p>
    <w:p>
      <w:pPr>
        <w:pStyle w:val="ListParagraph"/>
        <w:numPr>
          <w:ilvl w:val="0"/>
          <w:numId w:val="2"/>
        </w:numPr>
        <w:spacing w:after="40"/>
      </w:pPr>
      <w:r>
        <w:rPr>
          <w:rFonts w:ascii="Calibri" w:cs="Calibri" w:eastAsia="Calibri" w:hAnsi="Calibri"/>
          <w:sz w:val="24"/>
          <w:szCs w:val="24"/>
        </w:rPr>
        <w:t xml:space="preserve">Establish research partnerships with hospitals and health institutions locally and internationally.</w:t>
      </w:r>
    </w:p>
    <w:p>
      <w:pPr>
        <w:spacing w:after="40" w:before="120"/>
      </w:pPr>
      <w:r>
        <w:rPr>
          <w:rFonts w:ascii="Calibri" w:cs="Calibri" w:eastAsia="Calibri" w:hAnsi="Calibri"/>
          <w:b/>
          <w:bCs/>
          <w:color w:val="9A3318"/>
          <w:sz w:val="24"/>
          <w:szCs w:val="24"/>
        </w:rPr>
        <w:t xml:space="preserve">✅ 4. Community Engagement and Public Health Impact</w:t>
      </w:r>
    </w:p>
    <w:p>
      <w:pPr>
        <w:pStyle w:val="ListParagraph"/>
        <w:numPr>
          <w:ilvl w:val="0"/>
          <w:numId w:val="2"/>
        </w:numPr>
        <w:spacing w:after="40"/>
      </w:pPr>
      <w:r>
        <w:rPr>
          <w:rFonts w:ascii="Calibri" w:cs="Calibri" w:eastAsia="Calibri" w:hAnsi="Calibri"/>
          <w:sz w:val="24"/>
          <w:szCs w:val="24"/>
        </w:rPr>
        <w:t xml:space="preserve">Organize health screening campaigns and free laboratory testing initiatives for the community.</w:t>
      </w:r>
    </w:p>
    <w:p>
      <w:pPr>
        <w:pStyle w:val="ListParagraph"/>
        <w:numPr>
          <w:ilvl w:val="0"/>
          <w:numId w:val="2"/>
        </w:numPr>
        <w:spacing w:after="40"/>
      </w:pPr>
      <w:r>
        <w:rPr>
          <w:rFonts w:ascii="Calibri" w:cs="Calibri" w:eastAsia="Calibri" w:hAnsi="Calibri"/>
          <w:sz w:val="24"/>
          <w:szCs w:val="24"/>
        </w:rPr>
        <w:t xml:space="preserve">Offer public health awareness programmes on disease prevention and early detection.</w:t>
      </w:r>
    </w:p>
    <w:p>
      <w:pPr>
        <w:pStyle w:val="ListParagraph"/>
        <w:numPr>
          <w:ilvl w:val="0"/>
          <w:numId w:val="2"/>
        </w:numPr>
        <w:spacing w:after="40"/>
      </w:pPr>
      <w:r>
        <w:rPr>
          <w:rFonts w:ascii="Calibri" w:cs="Calibri" w:eastAsia="Calibri" w:hAnsi="Calibri"/>
          <w:sz w:val="24"/>
          <w:szCs w:val="24"/>
        </w:rPr>
        <w:t xml:space="preserve">Partner with local and international healthcare organizations.</w:t>
      </w:r>
    </w:p>
    <w:p>
      <w:pPr>
        <w:spacing w:after="40" w:before="120"/>
      </w:pPr>
      <w:r>
        <w:rPr>
          <w:rFonts w:ascii="Calibri" w:cs="Calibri" w:eastAsia="Calibri" w:hAnsi="Calibri"/>
          <w:b/>
          <w:bCs/>
          <w:color w:val="9A3318"/>
          <w:sz w:val="24"/>
          <w:szCs w:val="24"/>
        </w:rPr>
        <w:t xml:space="preserve">✅ 5. Student Success and Career Development</w:t>
      </w:r>
    </w:p>
    <w:p>
      <w:pPr>
        <w:pStyle w:val="ListParagraph"/>
        <w:numPr>
          <w:ilvl w:val="0"/>
          <w:numId w:val="2"/>
        </w:numPr>
        <w:spacing w:after="40"/>
      </w:pPr>
      <w:r>
        <w:rPr>
          <w:rFonts w:ascii="Calibri" w:cs="Calibri" w:eastAsia="Calibri" w:hAnsi="Calibri"/>
          <w:sz w:val="24"/>
          <w:szCs w:val="24"/>
        </w:rPr>
        <w:t xml:space="preserve">Strengthen career services with internships, mentorship programmes, and job placements in the health sector.</w:t>
      </w:r>
    </w:p>
    <w:p>
      <w:pPr>
        <w:pStyle w:val="ListParagraph"/>
        <w:numPr>
          <w:ilvl w:val="0"/>
          <w:numId w:val="2"/>
        </w:numPr>
        <w:spacing w:after="40"/>
      </w:pPr>
      <w:r>
        <w:rPr>
          <w:rFonts w:ascii="Calibri" w:cs="Calibri" w:eastAsia="Calibri" w:hAnsi="Calibri"/>
          <w:sz w:val="24"/>
          <w:szCs w:val="24"/>
        </w:rPr>
        <w:t xml:space="preserve">Provide certification courses in specialized laboratory techniques to enhance employability.</w:t>
      </w:r>
    </w:p>
    <w:p>
      <w:pPr>
        <w:pStyle w:val="ListParagraph"/>
        <w:numPr>
          <w:ilvl w:val="0"/>
          <w:numId w:val="2"/>
        </w:numPr>
        <w:spacing w:after="40"/>
      </w:pPr>
      <w:r>
        <w:rPr>
          <w:rFonts w:ascii="Calibri" w:cs="Calibri" w:eastAsia="Calibri" w:hAnsi="Calibri"/>
          <w:sz w:val="24"/>
          <w:szCs w:val="24"/>
        </w:rPr>
        <w:t xml:space="preserve">Foster alumni networks to support graduates' career advancement.</w:t>
      </w:r>
    </w:p>
    <w:p>
      <w:pPr>
        <w:spacing w:after="40" w:before="120"/>
      </w:pPr>
      <w:r>
        <w:rPr>
          <w:rFonts w:ascii="Calibri" w:cs="Calibri" w:eastAsia="Calibri" w:hAnsi="Calibri"/>
          <w:b/>
          <w:bCs/>
          <w:color w:val="9A3318"/>
          <w:sz w:val="24"/>
          <w:szCs w:val="24"/>
        </w:rPr>
        <w:t xml:space="preserve">✅ 6. Quality Assurance and Global Accreditation</w:t>
      </w:r>
    </w:p>
    <w:p>
      <w:pPr>
        <w:pStyle w:val="ListParagraph"/>
        <w:numPr>
          <w:ilvl w:val="0"/>
          <w:numId w:val="2"/>
        </w:numPr>
        <w:spacing w:after="40"/>
      </w:pPr>
      <w:r>
        <w:rPr>
          <w:rFonts w:ascii="Calibri" w:cs="Calibri" w:eastAsia="Calibri" w:hAnsi="Calibri"/>
          <w:sz w:val="24"/>
          <w:szCs w:val="24"/>
        </w:rPr>
        <w:t xml:space="preserve">Ensure compliance with MoHESR standards and pursue international accreditation.</w:t>
      </w:r>
    </w:p>
    <w:p>
      <w:pPr>
        <w:pStyle w:val="ListParagraph"/>
        <w:numPr>
          <w:ilvl w:val="0"/>
          <w:numId w:val="2"/>
        </w:numPr>
        <w:spacing w:after="40"/>
      </w:pPr>
      <w:r>
        <w:rPr>
          <w:rFonts w:ascii="Calibri" w:cs="Calibri" w:eastAsia="Calibri" w:hAnsi="Calibri"/>
          <w:sz w:val="24"/>
          <w:szCs w:val="24"/>
        </w:rPr>
        <w:t xml:space="preserve">Embed international laboratory quality standards (e.g., ISO 15189 principles) into teaching and practice.</w:t>
      </w:r>
    </w:p>
    <w:p>
      <w:pPr>
        <w:pStyle w:val="ListParagraph"/>
        <w:numPr>
          <w:ilvl w:val="0"/>
          <w:numId w:val="2"/>
        </w:numPr>
        <w:spacing w:after="40"/>
      </w:pPr>
      <w:r>
        <w:rPr>
          <w:rFonts w:ascii="Calibri" w:cs="Calibri" w:eastAsia="Calibri" w:hAnsi="Calibri"/>
          <w:sz w:val="24"/>
          <w:szCs w:val="24"/>
        </w:rPr>
        <w:t xml:space="preserve">Regularly update the curriculum to reflect advances in laboratory medicine.</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Embed green laboratory management and medical-waste sustainability in the curriculum.</w:t>
      </w:r>
    </w:p>
    <w:p>
      <w:pPr>
        <w:pStyle w:val="ListParagraph"/>
        <w:numPr>
          <w:ilvl w:val="0"/>
          <w:numId w:val="2"/>
        </w:numPr>
        <w:spacing w:after="40"/>
      </w:pPr>
      <w:r>
        <w:rPr>
          <w:rFonts w:ascii="Calibri" w:cs="Calibri" w:eastAsia="Calibri" w:hAnsi="Calibri"/>
          <w:sz w:val="24"/>
          <w:szCs w:val="24"/>
        </w:rPr>
        <w:t xml:space="preserve">Integrate AI-assisted diagnostics and laboratory informatics into training.</w:t>
      </w:r>
    </w:p>
    <w:p>
      <w:pPr>
        <w:pStyle w:val="ListParagraph"/>
        <w:numPr>
          <w:ilvl w:val="0"/>
          <w:numId w:val="2"/>
        </w:numPr>
        <w:spacing w:after="40"/>
      </w:pPr>
      <w:r>
        <w:rPr>
          <w:rFonts w:ascii="Calibri" w:cs="Calibri" w:eastAsia="Calibri" w:hAnsi="Calibri"/>
          <w:sz w:val="24"/>
          <w:szCs w:val="24"/>
        </w:rPr>
        <w:t xml:space="preserve">Promote environmentally responsible laboratory practice with hospital partners.</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Medical Laboratory Techniques programme define the diagnostic knowledge, laboratory skills, and professional conduct expected of every graduate. The programme is delivered through the Iraqi academic teaching system of MoHESR, with outcomes stated in a measurable, outcome-based form consistent with the Iraq National Qualifications Framework, and oriented toward the diagnostic needs and prevalent health conditions of the community of Mosul and Iraq.</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Perform laboratory investigations in haematology, microbiology, clinical biochemistry, and molecular diagnostics with accuracy and precision.</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Operate and maintain modern laboratory instruments while applying quality control and biosafety procedures.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Interpret laboratory results and correlate them with clinical conditions, including diseases prevalent in the Iraqi and Mosul community.</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Apply laboratory information systems and documentation practices consistent with international quality standards (ISO 15189 principles).</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patient confidentiality, and teamwork, and contribute to public-health screening and awareness campaigns in the community.</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applications in laboratory diagnostics and result interpretation.</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green laboratory practices in waste management, chemical safety, and resource conservation.</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laboratory quality and epidemiological data to support public-health decisions.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Contribute to sustainable, cost-effective diagnostic services in Iraqi health institutions.</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environmental health awareness and support the SDGs through laboratory practice.</w:t>
      </w:r>
    </w:p>
    <w:p>
      <w:pPr>
        <w:pStyle w:val="Heading2"/>
        <w:spacing w:before="240"/>
      </w:pPr>
      <w:r>
        <w:rPr>
          <w:rFonts w:ascii="Calibri" w:cs="Calibri" w:eastAsia="Calibri" w:hAnsi="Calibri"/>
        </w:rPr>
        <w:t xml:space="preserve">Department of Anesthesia Techniques (DANT)</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Anesthesia Techniques programme as offered by Al-Hadba University under the supervision of the Ministry of Higher Education and Scientific Research (MoHESR). The programme leads to the award of Bachelor of Science (B.Sc.) in Anesthesia Techniques after 4 academic years of full-time study, and is delivered through the Iraqi academic teaching system and its course-unit framework, in accordance with MoHESR regulations.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Health and Medical Techniques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Anesthesia Techniques</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DANT</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AHU15200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Anesthesia Techniques</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Iraqi academic teaching system (MoHESR)</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1 class hour/week = 1 unit, and 2 lab hours/week = 1 unit</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anesthesia technology education, recognized for producing competent, compassionate, and safety-focused anesthesia professionals who enhance perioperative care, critical care, and patient outcomes in Iraq and beyond.</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Anesthesia Techniques at AHU is committed to:</w:t>
      </w:r>
    </w:p>
    <w:p>
      <w:pPr>
        <w:pStyle w:val="ListParagraph"/>
        <w:numPr>
          <w:ilvl w:val="0"/>
          <w:numId w:val="2"/>
        </w:numPr>
        <w:spacing w:after="40"/>
      </w:pPr>
      <w:r>
        <w:rPr>
          <w:rFonts w:ascii="Calibri" w:cs="Calibri" w:eastAsia="Calibri" w:hAnsi="Calibri"/>
          <w:sz w:val="24"/>
          <w:szCs w:val="24"/>
        </w:rPr>
        <w:t xml:space="preserve">Delivering high-quality anesthesia technology education that integrates clinical skill with scientific knowledge.</w:t>
      </w:r>
    </w:p>
    <w:p>
      <w:pPr>
        <w:pStyle w:val="ListParagraph"/>
        <w:numPr>
          <w:ilvl w:val="0"/>
          <w:numId w:val="2"/>
        </w:numPr>
        <w:spacing w:after="40"/>
      </w:pPr>
      <w:r>
        <w:rPr>
          <w:rFonts w:ascii="Calibri" w:cs="Calibri" w:eastAsia="Calibri" w:hAnsi="Calibri"/>
          <w:sz w:val="24"/>
          <w:szCs w:val="24"/>
        </w:rPr>
        <w:t xml:space="preserve">Preparing competent, compassionate anesthesia professionals who prioritize patient safety.</w:t>
      </w:r>
    </w:p>
    <w:p>
      <w:pPr>
        <w:pStyle w:val="ListParagraph"/>
        <w:numPr>
          <w:ilvl w:val="0"/>
          <w:numId w:val="2"/>
        </w:numPr>
        <w:spacing w:after="40"/>
      </w:pPr>
      <w:r>
        <w:rPr>
          <w:rFonts w:ascii="Calibri" w:cs="Calibri" w:eastAsia="Calibri" w:hAnsi="Calibri"/>
          <w:sz w:val="24"/>
          <w:szCs w:val="24"/>
        </w:rPr>
        <w:t xml:space="preserve">Advancing scientific research in perioperative care, pain management, and critical care.</w:t>
      </w:r>
    </w:p>
    <w:p>
      <w:pPr>
        <w:pStyle w:val="ListParagraph"/>
        <w:numPr>
          <w:ilvl w:val="0"/>
          <w:numId w:val="2"/>
        </w:numPr>
        <w:spacing w:after="40"/>
      </w:pPr>
      <w:r>
        <w:rPr>
          <w:rFonts w:ascii="Calibri" w:cs="Calibri" w:eastAsia="Calibri" w:hAnsi="Calibri"/>
          <w:sz w:val="24"/>
          <w:szCs w:val="24"/>
        </w:rPr>
        <w:t xml:space="preserve">Promoting community health through first aid, resuscitation, and surgical-safety training.</w:t>
      </w:r>
    </w:p>
    <w:p>
      <w:pPr>
        <w:pStyle w:val="ListParagraph"/>
        <w:numPr>
          <w:ilvl w:val="0"/>
          <w:numId w:val="2"/>
        </w:numPr>
        <w:spacing w:after="40"/>
      </w:pPr>
      <w:r>
        <w:rPr>
          <w:rFonts w:ascii="Calibri" w:cs="Calibri" w:eastAsia="Calibri" w:hAnsi="Calibri"/>
          <w:sz w:val="24"/>
          <w:szCs w:val="24"/>
        </w:rPr>
        <w:t xml:space="preserve">Fostering partnerships with hospitals to enhance clinical training and career opportunities.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Innovation</w:t>
      </w:r>
    </w:p>
    <w:p>
      <w:pPr>
        <w:pStyle w:val="ListParagraph"/>
        <w:numPr>
          <w:ilvl w:val="0"/>
          <w:numId w:val="2"/>
        </w:numPr>
        <w:spacing w:after="40"/>
      </w:pPr>
      <w:r>
        <w:rPr>
          <w:rFonts w:ascii="Calibri" w:cs="Calibri" w:eastAsia="Calibri" w:hAnsi="Calibri"/>
          <w:sz w:val="24"/>
          <w:szCs w:val="24"/>
        </w:rPr>
        <w:t xml:space="preserve">Offer modern, evidence-based curricula in anesthesia techniques, pharmacology, and patient monitoring.</w:t>
      </w:r>
    </w:p>
    <w:p>
      <w:pPr>
        <w:pStyle w:val="ListParagraph"/>
        <w:numPr>
          <w:ilvl w:val="0"/>
          <w:numId w:val="2"/>
        </w:numPr>
        <w:spacing w:after="40"/>
      </w:pPr>
      <w:r>
        <w:rPr>
          <w:rFonts w:ascii="Calibri" w:cs="Calibri" w:eastAsia="Calibri" w:hAnsi="Calibri"/>
          <w:sz w:val="24"/>
          <w:szCs w:val="24"/>
        </w:rPr>
        <w:t xml:space="preserve">Integrate emerging anesthesia and critical care technologies into the curriculum.</w:t>
      </w:r>
    </w:p>
    <w:p>
      <w:pPr>
        <w:pStyle w:val="ListParagraph"/>
        <w:numPr>
          <w:ilvl w:val="0"/>
          <w:numId w:val="2"/>
        </w:numPr>
        <w:spacing w:after="40"/>
      </w:pPr>
      <w:r>
        <w:rPr>
          <w:rFonts w:ascii="Calibri" w:cs="Calibri" w:eastAsia="Calibri" w:hAnsi="Calibri"/>
          <w:sz w:val="24"/>
          <w:szCs w:val="24"/>
        </w:rPr>
        <w:t xml:space="preserve">Foster clinical reasoning, vigilance, and patient-safety expertise.</w:t>
      </w:r>
    </w:p>
    <w:p>
      <w:pPr>
        <w:spacing w:after="40" w:before="120"/>
      </w:pPr>
      <w:r>
        <w:rPr>
          <w:rFonts w:ascii="Calibri" w:cs="Calibri" w:eastAsia="Calibri" w:hAnsi="Calibri"/>
          <w:b/>
          <w:bCs/>
          <w:color w:val="9A3318"/>
          <w:sz w:val="24"/>
          <w:szCs w:val="24"/>
        </w:rPr>
        <w:t xml:space="preserve">✅ 2. Practical Clinical Training and Skill Development</w:t>
      </w:r>
    </w:p>
    <w:p>
      <w:pPr>
        <w:pStyle w:val="ListParagraph"/>
        <w:numPr>
          <w:ilvl w:val="0"/>
          <w:numId w:val="2"/>
        </w:numPr>
        <w:spacing w:after="40"/>
      </w:pPr>
      <w:r>
        <w:rPr>
          <w:rFonts w:ascii="Calibri" w:cs="Calibri" w:eastAsia="Calibri" w:hAnsi="Calibri"/>
          <w:sz w:val="24"/>
          <w:szCs w:val="24"/>
        </w:rPr>
        <w:t xml:space="preserve">Provide extensive hands-on training in operating theatres, recovery units, and intensive care settings.</w:t>
      </w:r>
    </w:p>
    <w:p>
      <w:pPr>
        <w:pStyle w:val="ListParagraph"/>
        <w:numPr>
          <w:ilvl w:val="0"/>
          <w:numId w:val="2"/>
        </w:numPr>
        <w:spacing w:after="40"/>
      </w:pPr>
      <w:r>
        <w:rPr>
          <w:rFonts w:ascii="Calibri" w:cs="Calibri" w:eastAsia="Calibri" w:hAnsi="Calibri"/>
          <w:sz w:val="24"/>
          <w:szCs w:val="24"/>
        </w:rPr>
        <w:t xml:space="preserve">Develop simulation-based modules for airway management, resuscitation, and emergency response.</w:t>
      </w:r>
    </w:p>
    <w:p>
      <w:pPr>
        <w:pStyle w:val="ListParagraph"/>
        <w:numPr>
          <w:ilvl w:val="0"/>
          <w:numId w:val="2"/>
        </w:numPr>
        <w:spacing w:after="40"/>
      </w:pPr>
      <w:r>
        <w:rPr>
          <w:rFonts w:ascii="Calibri" w:cs="Calibri" w:eastAsia="Calibri" w:hAnsi="Calibri"/>
          <w:sz w:val="24"/>
          <w:szCs w:val="24"/>
        </w:rPr>
        <w:t xml:space="preserve">Strengthen students' critical thinking and rapid decision-making in perioperative situations.</w:t>
      </w:r>
    </w:p>
    <w:p>
      <w:pPr>
        <w:spacing w:after="40" w:before="120"/>
      </w:pPr>
      <w:r>
        <w:rPr>
          <w:rFonts w:ascii="Calibri" w:cs="Calibri" w:eastAsia="Calibri" w:hAnsi="Calibri"/>
          <w:b/>
          <w:bCs/>
          <w:color w:val="9A3318"/>
          <w:sz w:val="24"/>
          <w:szCs w:val="24"/>
        </w:rPr>
        <w:t xml:space="preserve">✅ 3. Research and Scientific Advancement</w:t>
      </w:r>
    </w:p>
    <w:p>
      <w:pPr>
        <w:pStyle w:val="ListParagraph"/>
        <w:numPr>
          <w:ilvl w:val="0"/>
          <w:numId w:val="2"/>
        </w:numPr>
        <w:spacing w:after="40"/>
      </w:pPr>
      <w:r>
        <w:rPr>
          <w:rFonts w:ascii="Calibri" w:cs="Calibri" w:eastAsia="Calibri" w:hAnsi="Calibri"/>
          <w:sz w:val="24"/>
          <w:szCs w:val="24"/>
        </w:rPr>
        <w:t xml:space="preserve">Promote faculty and student-led research on patient safety, pain management, and perioperative care.</w:t>
      </w:r>
    </w:p>
    <w:p>
      <w:pPr>
        <w:pStyle w:val="ListParagraph"/>
        <w:numPr>
          <w:ilvl w:val="0"/>
          <w:numId w:val="2"/>
        </w:numPr>
        <w:spacing w:after="40"/>
      </w:pPr>
      <w:r>
        <w:rPr>
          <w:rFonts w:ascii="Calibri" w:cs="Calibri" w:eastAsia="Calibri" w:hAnsi="Calibri"/>
          <w:sz w:val="24"/>
          <w:szCs w:val="24"/>
        </w:rPr>
        <w:t xml:space="preserve">Support publication of research findings in peer-reviewed journals.</w:t>
      </w:r>
    </w:p>
    <w:p>
      <w:pPr>
        <w:pStyle w:val="ListParagraph"/>
        <w:numPr>
          <w:ilvl w:val="0"/>
          <w:numId w:val="2"/>
        </w:numPr>
        <w:spacing w:after="40"/>
      </w:pPr>
      <w:r>
        <w:rPr>
          <w:rFonts w:ascii="Calibri" w:cs="Calibri" w:eastAsia="Calibri" w:hAnsi="Calibri"/>
          <w:sz w:val="24"/>
          <w:szCs w:val="24"/>
        </w:rPr>
        <w:t xml:space="preserve">Establish research partnerships with hospitals and health institutions.</w:t>
      </w:r>
    </w:p>
    <w:p>
      <w:pPr>
        <w:spacing w:after="40" w:before="120"/>
      </w:pPr>
      <w:r>
        <w:rPr>
          <w:rFonts w:ascii="Calibri" w:cs="Calibri" w:eastAsia="Calibri" w:hAnsi="Calibri"/>
          <w:b/>
          <w:bCs/>
          <w:color w:val="9A3318"/>
          <w:sz w:val="24"/>
          <w:szCs w:val="24"/>
        </w:rPr>
        <w:t xml:space="preserve">✅ 4. Community Engagement and Public Health Impact</w:t>
      </w:r>
    </w:p>
    <w:p>
      <w:pPr>
        <w:pStyle w:val="ListParagraph"/>
        <w:numPr>
          <w:ilvl w:val="0"/>
          <w:numId w:val="2"/>
        </w:numPr>
        <w:spacing w:after="40"/>
      </w:pPr>
      <w:r>
        <w:rPr>
          <w:rFonts w:ascii="Calibri" w:cs="Calibri" w:eastAsia="Calibri" w:hAnsi="Calibri"/>
          <w:sz w:val="24"/>
          <w:szCs w:val="24"/>
        </w:rPr>
        <w:t xml:space="preserve">Organize community training in first aid, basic life support, and resuscitation.</w:t>
      </w:r>
    </w:p>
    <w:p>
      <w:pPr>
        <w:pStyle w:val="ListParagraph"/>
        <w:numPr>
          <w:ilvl w:val="0"/>
          <w:numId w:val="2"/>
        </w:numPr>
        <w:spacing w:after="40"/>
      </w:pPr>
      <w:r>
        <w:rPr>
          <w:rFonts w:ascii="Calibri" w:cs="Calibri" w:eastAsia="Calibri" w:hAnsi="Calibri"/>
          <w:sz w:val="24"/>
          <w:szCs w:val="24"/>
        </w:rPr>
        <w:t xml:space="preserve">Offer public awareness programmes on surgical safety and preoperative health.</w:t>
      </w:r>
    </w:p>
    <w:p>
      <w:pPr>
        <w:pStyle w:val="ListParagraph"/>
        <w:numPr>
          <w:ilvl w:val="0"/>
          <w:numId w:val="2"/>
        </w:numPr>
        <w:spacing w:after="40"/>
      </w:pPr>
      <w:r>
        <w:rPr>
          <w:rFonts w:ascii="Calibri" w:cs="Calibri" w:eastAsia="Calibri" w:hAnsi="Calibri"/>
          <w:sz w:val="24"/>
          <w:szCs w:val="24"/>
        </w:rPr>
        <w:t xml:space="preserve">Partner with local and international healthcare organizations.</w:t>
      </w:r>
    </w:p>
    <w:p>
      <w:pPr>
        <w:spacing w:after="40" w:before="120"/>
      </w:pPr>
      <w:r>
        <w:rPr>
          <w:rFonts w:ascii="Calibri" w:cs="Calibri" w:eastAsia="Calibri" w:hAnsi="Calibri"/>
          <w:b/>
          <w:bCs/>
          <w:color w:val="9A3318"/>
          <w:sz w:val="24"/>
          <w:szCs w:val="24"/>
        </w:rPr>
        <w:t xml:space="preserve">✅ 5. Student Success and Career Development</w:t>
      </w:r>
    </w:p>
    <w:p>
      <w:pPr>
        <w:pStyle w:val="ListParagraph"/>
        <w:numPr>
          <w:ilvl w:val="0"/>
          <w:numId w:val="2"/>
        </w:numPr>
        <w:spacing w:after="40"/>
      </w:pPr>
      <w:r>
        <w:rPr>
          <w:rFonts w:ascii="Calibri" w:cs="Calibri" w:eastAsia="Calibri" w:hAnsi="Calibri"/>
          <w:sz w:val="24"/>
          <w:szCs w:val="24"/>
        </w:rPr>
        <w:t xml:space="preserve">Strengthen career services with hospital internships, mentorship programmes, and job placements.</w:t>
      </w:r>
    </w:p>
    <w:p>
      <w:pPr>
        <w:pStyle w:val="ListParagraph"/>
        <w:numPr>
          <w:ilvl w:val="0"/>
          <w:numId w:val="2"/>
        </w:numPr>
        <w:spacing w:after="40"/>
      </w:pPr>
      <w:r>
        <w:rPr>
          <w:rFonts w:ascii="Calibri" w:cs="Calibri" w:eastAsia="Calibri" w:hAnsi="Calibri"/>
          <w:sz w:val="24"/>
          <w:szCs w:val="24"/>
        </w:rPr>
        <w:t xml:space="preserve">Provide certification courses in life support and perioperative care to enhance employability.</w:t>
      </w:r>
    </w:p>
    <w:p>
      <w:pPr>
        <w:pStyle w:val="ListParagraph"/>
        <w:numPr>
          <w:ilvl w:val="0"/>
          <w:numId w:val="2"/>
        </w:numPr>
        <w:spacing w:after="40"/>
      </w:pPr>
      <w:r>
        <w:rPr>
          <w:rFonts w:ascii="Calibri" w:cs="Calibri" w:eastAsia="Calibri" w:hAnsi="Calibri"/>
          <w:sz w:val="24"/>
          <w:szCs w:val="24"/>
        </w:rPr>
        <w:t xml:space="preserve">Foster alumni networks to support graduates' career advancement.</w:t>
      </w:r>
    </w:p>
    <w:p>
      <w:pPr>
        <w:spacing w:after="40" w:before="120"/>
      </w:pPr>
      <w:r>
        <w:rPr>
          <w:rFonts w:ascii="Calibri" w:cs="Calibri" w:eastAsia="Calibri" w:hAnsi="Calibri"/>
          <w:b/>
          <w:bCs/>
          <w:color w:val="9A3318"/>
          <w:sz w:val="24"/>
          <w:szCs w:val="24"/>
        </w:rPr>
        <w:t xml:space="preserve">✅ 6. Quality Assurance and Global Accreditation</w:t>
      </w:r>
    </w:p>
    <w:p>
      <w:pPr>
        <w:pStyle w:val="ListParagraph"/>
        <w:numPr>
          <w:ilvl w:val="0"/>
          <w:numId w:val="2"/>
        </w:numPr>
        <w:spacing w:after="40"/>
      </w:pPr>
      <w:r>
        <w:rPr>
          <w:rFonts w:ascii="Calibri" w:cs="Calibri" w:eastAsia="Calibri" w:hAnsi="Calibri"/>
          <w:sz w:val="24"/>
          <w:szCs w:val="24"/>
        </w:rPr>
        <w:t xml:space="preserve">Ensure compliance with MoHESR standards and pursue international accreditation.</w:t>
      </w:r>
    </w:p>
    <w:p>
      <w:pPr>
        <w:pStyle w:val="ListParagraph"/>
        <w:numPr>
          <w:ilvl w:val="0"/>
          <w:numId w:val="2"/>
        </w:numPr>
        <w:spacing w:after="40"/>
      </w:pPr>
      <w:r>
        <w:rPr>
          <w:rFonts w:ascii="Calibri" w:cs="Calibri" w:eastAsia="Calibri" w:hAnsi="Calibri"/>
          <w:sz w:val="24"/>
          <w:szCs w:val="24"/>
        </w:rPr>
        <w:t xml:space="preserve">Align training with international perioperative and patient-safety standards.</w:t>
      </w:r>
    </w:p>
    <w:p>
      <w:pPr>
        <w:pStyle w:val="ListParagraph"/>
        <w:numPr>
          <w:ilvl w:val="0"/>
          <w:numId w:val="2"/>
        </w:numPr>
        <w:spacing w:after="40"/>
      </w:pPr>
      <w:r>
        <w:rPr>
          <w:rFonts w:ascii="Calibri" w:cs="Calibri" w:eastAsia="Calibri" w:hAnsi="Calibri"/>
          <w:sz w:val="24"/>
          <w:szCs w:val="24"/>
        </w:rPr>
        <w:t xml:space="preserve">Regularly update the curriculum to reflect advances in anesthesia and critical care.</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environmentally responsible anesthesia practice and waste reduction into the curriculum.</w:t>
      </w:r>
    </w:p>
    <w:p>
      <w:pPr>
        <w:pStyle w:val="ListParagraph"/>
        <w:numPr>
          <w:ilvl w:val="0"/>
          <w:numId w:val="2"/>
        </w:numPr>
        <w:spacing w:after="40"/>
      </w:pPr>
      <w:r>
        <w:rPr>
          <w:rFonts w:ascii="Calibri" w:cs="Calibri" w:eastAsia="Calibri" w:hAnsi="Calibri"/>
          <w:sz w:val="24"/>
          <w:szCs w:val="24"/>
        </w:rPr>
        <w:t xml:space="preserve">Embed AI-supported patient monitoring and clinical decision support in training.</w:t>
      </w:r>
    </w:p>
    <w:p>
      <w:pPr>
        <w:pStyle w:val="ListParagraph"/>
        <w:numPr>
          <w:ilvl w:val="0"/>
          <w:numId w:val="2"/>
        </w:numPr>
        <w:spacing w:after="40"/>
      </w:pPr>
      <w:r>
        <w:rPr>
          <w:rFonts w:ascii="Calibri" w:cs="Calibri" w:eastAsia="Calibri" w:hAnsi="Calibri"/>
          <w:sz w:val="24"/>
          <w:szCs w:val="24"/>
        </w:rPr>
        <w:t xml:space="preserve">Promote sustainable perioperative practices with partner hospitals.</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Anesthesia Techniques programme describe the clinical knowledge, technical skills, and patient-safety culture required of its graduates. Delivered through the Iraqi academic teaching system of MoHESR, the programme states its outcomes in a measurable, outcome-based form aligned with the Iraq National Qualifications Framework, in direct response to the perioperative and critical-care needs of the hospitals of Mosul and Nineveh Governorate.</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knowledge of anatomy, physiology, and pharmacology to the safe delivery of anesthesia care.</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Prepare, operate, and monitor anesthesia machines and patient-monitoring equipment according to safety standards.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Assist in administering anesthesia and managing patients before, during, and after surgical procedures under professional supervision.</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Respond effectively to perioperative emergencies, including airway management and cardiopulmonary resuscitation.</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compassion, professional ethics, and a patient-safety culture in serving the hospitals of Mosul and Nineveh Governorate.</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and smart monitoring technologies in perioperative and critical care.</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environmentally responsible practices in anesthesia, including low-flow techniques and waste reduction.</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patient-monitoring data to enhance safety and early detection of complications.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Contribute to sustainable, efficient operating-theatre practice in Iraqi hospitals.</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green healthcare culture and support the SDGs through safe anesthesia practice.</w:t>
      </w:r>
    </w:p>
    <w:p>
      <w:pPr>
        <w:pStyle w:val="Heading2"/>
        <w:spacing w:before="240"/>
      </w:pPr>
      <w:r>
        <w:rPr>
          <w:rFonts w:ascii="Calibri" w:cs="Calibri" w:eastAsia="Calibri" w:hAnsi="Calibri"/>
        </w:rPr>
        <w:t xml:space="preserve">Department of Cosmetic Techniques and Laser (DCTL)</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Cosmetic Techniques and Laser programme as offered by Al-Hadba University under the supervision of the Ministry of Higher Education and Scientific Research (MoHESR). The programme leads to the award of Bachelor of Science (B.Sc.) in Cosmetic Techniques and Laser after 4 academic years of full-time study, and is delivered through the Iraqi academic teaching system and its course-unit framework, in accordance with MoHESR regulations.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Health and Medical Techniques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Cosmetic Techniques and Laser</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DCTL</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AHU15300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Cosmetic Techniques and Laser</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Iraqi academic teaching system (MoHESR)</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1 class hour/week = 1 unit, and 2 lab hours/week = 1 unit</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cosmetic and laser technology education, recognized for producing skilled, ethical professionals who deliver safe, evidence-based aesthetic and laser services and advance innovation in medical aesthetics in Iraq and beyond.</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Cosmetic Techniques and Laser at AHU is committed to:</w:t>
      </w:r>
    </w:p>
    <w:p>
      <w:pPr>
        <w:pStyle w:val="ListParagraph"/>
        <w:numPr>
          <w:ilvl w:val="0"/>
          <w:numId w:val="2"/>
        </w:numPr>
        <w:spacing w:after="40"/>
      </w:pPr>
      <w:r>
        <w:rPr>
          <w:rFonts w:ascii="Calibri" w:cs="Calibri" w:eastAsia="Calibri" w:hAnsi="Calibri"/>
          <w:sz w:val="24"/>
          <w:szCs w:val="24"/>
        </w:rPr>
        <w:t xml:space="preserve">Delivering high-quality, evidence-based education in cosmetic and laser techniques.</w:t>
      </w:r>
    </w:p>
    <w:p>
      <w:pPr>
        <w:pStyle w:val="ListParagraph"/>
        <w:numPr>
          <w:ilvl w:val="0"/>
          <w:numId w:val="2"/>
        </w:numPr>
        <w:spacing w:after="40"/>
      </w:pPr>
      <w:r>
        <w:rPr>
          <w:rFonts w:ascii="Calibri" w:cs="Calibri" w:eastAsia="Calibri" w:hAnsi="Calibri"/>
          <w:sz w:val="24"/>
          <w:szCs w:val="24"/>
        </w:rPr>
        <w:t xml:space="preserve">Preparing skilled, ethical professionals committed to safe aesthetic and laser practice.</w:t>
      </w:r>
    </w:p>
    <w:p>
      <w:pPr>
        <w:pStyle w:val="ListParagraph"/>
        <w:numPr>
          <w:ilvl w:val="0"/>
          <w:numId w:val="2"/>
        </w:numPr>
        <w:spacing w:after="40"/>
      </w:pPr>
      <w:r>
        <w:rPr>
          <w:rFonts w:ascii="Calibri" w:cs="Calibri" w:eastAsia="Calibri" w:hAnsi="Calibri"/>
          <w:sz w:val="24"/>
          <w:szCs w:val="24"/>
        </w:rPr>
        <w:t xml:space="preserve">Advancing scientific research in laser applications, skin science, and treatment outcomes.</w:t>
      </w:r>
    </w:p>
    <w:p>
      <w:pPr>
        <w:pStyle w:val="ListParagraph"/>
        <w:numPr>
          <w:ilvl w:val="0"/>
          <w:numId w:val="2"/>
        </w:numPr>
        <w:spacing w:after="40"/>
      </w:pPr>
      <w:r>
        <w:rPr>
          <w:rFonts w:ascii="Calibri" w:cs="Calibri" w:eastAsia="Calibri" w:hAnsi="Calibri"/>
          <w:sz w:val="24"/>
          <w:szCs w:val="24"/>
        </w:rPr>
        <w:t xml:space="preserve">Promoting community awareness of skin health and safe cosmetic practices.</w:t>
      </w:r>
    </w:p>
    <w:p>
      <w:pPr>
        <w:pStyle w:val="ListParagraph"/>
        <w:numPr>
          <w:ilvl w:val="0"/>
          <w:numId w:val="2"/>
        </w:numPr>
        <w:spacing w:after="40"/>
      </w:pPr>
      <w:r>
        <w:rPr>
          <w:rFonts w:ascii="Calibri" w:cs="Calibri" w:eastAsia="Calibri" w:hAnsi="Calibri"/>
          <w:sz w:val="24"/>
          <w:szCs w:val="24"/>
        </w:rPr>
        <w:t xml:space="preserve">Fostering partnerships with clinics and aesthetic-medicine institutions to enhance training and careers.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Innovation</w:t>
      </w:r>
    </w:p>
    <w:p>
      <w:pPr>
        <w:pStyle w:val="ListParagraph"/>
        <w:numPr>
          <w:ilvl w:val="0"/>
          <w:numId w:val="2"/>
        </w:numPr>
        <w:spacing w:after="40"/>
      </w:pPr>
      <w:r>
        <w:rPr>
          <w:rFonts w:ascii="Calibri" w:cs="Calibri" w:eastAsia="Calibri" w:hAnsi="Calibri"/>
          <w:sz w:val="24"/>
          <w:szCs w:val="24"/>
        </w:rPr>
        <w:t xml:space="preserve">Offer modern, evidence-based curricula in skin science, laser physics, and aesthetic procedures.</w:t>
      </w:r>
    </w:p>
    <w:p>
      <w:pPr>
        <w:pStyle w:val="ListParagraph"/>
        <w:numPr>
          <w:ilvl w:val="0"/>
          <w:numId w:val="2"/>
        </w:numPr>
        <w:spacing w:after="40"/>
      </w:pPr>
      <w:r>
        <w:rPr>
          <w:rFonts w:ascii="Calibri" w:cs="Calibri" w:eastAsia="Calibri" w:hAnsi="Calibri"/>
          <w:sz w:val="24"/>
          <w:szCs w:val="24"/>
        </w:rPr>
        <w:t xml:space="preserve">Integrate emerging cosmetic and laser technologies into the curriculum.</w:t>
      </w:r>
    </w:p>
    <w:p>
      <w:pPr>
        <w:pStyle w:val="ListParagraph"/>
        <w:numPr>
          <w:ilvl w:val="0"/>
          <w:numId w:val="2"/>
        </w:numPr>
        <w:spacing w:after="40"/>
      </w:pPr>
      <w:r>
        <w:rPr>
          <w:rFonts w:ascii="Calibri" w:cs="Calibri" w:eastAsia="Calibri" w:hAnsi="Calibri"/>
          <w:sz w:val="24"/>
          <w:szCs w:val="24"/>
        </w:rPr>
        <w:t xml:space="preserve">Foster scientific rigour, ethical practice, and client-safety expertise.</w:t>
      </w:r>
    </w:p>
    <w:p>
      <w:pPr>
        <w:spacing w:after="40" w:before="120"/>
      </w:pPr>
      <w:r>
        <w:rPr>
          <w:rFonts w:ascii="Calibri" w:cs="Calibri" w:eastAsia="Calibri" w:hAnsi="Calibri"/>
          <w:b/>
          <w:bCs/>
          <w:color w:val="9A3318"/>
          <w:sz w:val="24"/>
          <w:szCs w:val="24"/>
        </w:rPr>
        <w:t xml:space="preserve">✅ 2. Practical Clinical Training and Skill Development</w:t>
      </w:r>
    </w:p>
    <w:p>
      <w:pPr>
        <w:pStyle w:val="ListParagraph"/>
        <w:numPr>
          <w:ilvl w:val="0"/>
          <w:numId w:val="2"/>
        </w:numPr>
        <w:spacing w:after="40"/>
      </w:pPr>
      <w:r>
        <w:rPr>
          <w:rFonts w:ascii="Calibri" w:cs="Calibri" w:eastAsia="Calibri" w:hAnsi="Calibri"/>
          <w:sz w:val="24"/>
          <w:szCs w:val="24"/>
        </w:rPr>
        <w:t xml:space="preserve">Provide extensive supervised training in cosmetic and laser clinics with modern devices.</w:t>
      </w:r>
    </w:p>
    <w:p>
      <w:pPr>
        <w:pStyle w:val="ListParagraph"/>
        <w:numPr>
          <w:ilvl w:val="0"/>
          <w:numId w:val="2"/>
        </w:numPr>
        <w:spacing w:after="40"/>
      </w:pPr>
      <w:r>
        <w:rPr>
          <w:rFonts w:ascii="Calibri" w:cs="Calibri" w:eastAsia="Calibri" w:hAnsi="Calibri"/>
          <w:sz w:val="24"/>
          <w:szCs w:val="24"/>
        </w:rPr>
        <w:t xml:space="preserve">Develop simulation-based modules for device operation, safety protocols, and procedure planning.</w:t>
      </w:r>
    </w:p>
    <w:p>
      <w:pPr>
        <w:pStyle w:val="ListParagraph"/>
        <w:numPr>
          <w:ilvl w:val="0"/>
          <w:numId w:val="2"/>
        </w:numPr>
        <w:spacing w:after="40"/>
      </w:pPr>
      <w:r>
        <w:rPr>
          <w:rFonts w:ascii="Calibri" w:cs="Calibri" w:eastAsia="Calibri" w:hAnsi="Calibri"/>
          <w:sz w:val="24"/>
          <w:szCs w:val="24"/>
        </w:rPr>
        <w:t xml:space="preserve">Strengthen students' assessment, documentation, and client-care skills.</w:t>
      </w:r>
    </w:p>
    <w:p>
      <w:pPr>
        <w:spacing w:after="40" w:before="120"/>
      </w:pPr>
      <w:r>
        <w:rPr>
          <w:rFonts w:ascii="Calibri" w:cs="Calibri" w:eastAsia="Calibri" w:hAnsi="Calibri"/>
          <w:b/>
          <w:bCs/>
          <w:color w:val="9A3318"/>
          <w:sz w:val="24"/>
          <w:szCs w:val="24"/>
        </w:rPr>
        <w:t xml:space="preserve">✅ 3. Research and Scientific Advancement</w:t>
      </w:r>
    </w:p>
    <w:p>
      <w:pPr>
        <w:pStyle w:val="ListParagraph"/>
        <w:numPr>
          <w:ilvl w:val="0"/>
          <w:numId w:val="2"/>
        </w:numPr>
        <w:spacing w:after="40"/>
      </w:pPr>
      <w:r>
        <w:rPr>
          <w:rFonts w:ascii="Calibri" w:cs="Calibri" w:eastAsia="Calibri" w:hAnsi="Calibri"/>
          <w:sz w:val="24"/>
          <w:szCs w:val="24"/>
        </w:rPr>
        <w:t xml:space="preserve">Promote faculty and student-led research in laser applications, dermo-cosmetics, and treatment outcomes.</w:t>
      </w:r>
    </w:p>
    <w:p>
      <w:pPr>
        <w:pStyle w:val="ListParagraph"/>
        <w:numPr>
          <w:ilvl w:val="0"/>
          <w:numId w:val="2"/>
        </w:numPr>
        <w:spacing w:after="40"/>
      </w:pPr>
      <w:r>
        <w:rPr>
          <w:rFonts w:ascii="Calibri" w:cs="Calibri" w:eastAsia="Calibri" w:hAnsi="Calibri"/>
          <w:sz w:val="24"/>
          <w:szCs w:val="24"/>
        </w:rPr>
        <w:t xml:space="preserve">Support publication of research findings in peer-reviewed journals.</w:t>
      </w:r>
    </w:p>
    <w:p>
      <w:pPr>
        <w:pStyle w:val="ListParagraph"/>
        <w:numPr>
          <w:ilvl w:val="0"/>
          <w:numId w:val="2"/>
        </w:numPr>
        <w:spacing w:after="40"/>
      </w:pPr>
      <w:r>
        <w:rPr>
          <w:rFonts w:ascii="Calibri" w:cs="Calibri" w:eastAsia="Calibri" w:hAnsi="Calibri"/>
          <w:sz w:val="24"/>
          <w:szCs w:val="24"/>
        </w:rPr>
        <w:t xml:space="preserve">Establish research partnerships with dermatology and aesthetic medicine institutions.</w:t>
      </w:r>
    </w:p>
    <w:p>
      <w:pPr>
        <w:spacing w:after="40" w:before="120"/>
      </w:pPr>
      <w:r>
        <w:rPr>
          <w:rFonts w:ascii="Calibri" w:cs="Calibri" w:eastAsia="Calibri" w:hAnsi="Calibri"/>
          <w:b/>
          <w:bCs/>
          <w:color w:val="9A3318"/>
          <w:sz w:val="24"/>
          <w:szCs w:val="24"/>
        </w:rPr>
        <w:t xml:space="preserve">✅ 4. Community Engagement and Public Health Impact</w:t>
      </w:r>
    </w:p>
    <w:p>
      <w:pPr>
        <w:pStyle w:val="ListParagraph"/>
        <w:numPr>
          <w:ilvl w:val="0"/>
          <w:numId w:val="2"/>
        </w:numPr>
        <w:spacing w:after="40"/>
      </w:pPr>
      <w:r>
        <w:rPr>
          <w:rFonts w:ascii="Calibri" w:cs="Calibri" w:eastAsia="Calibri" w:hAnsi="Calibri"/>
          <w:sz w:val="24"/>
          <w:szCs w:val="24"/>
        </w:rPr>
        <w:t xml:space="preserve">Organize skin health awareness campaigns and free consultation initiatives.</w:t>
      </w:r>
    </w:p>
    <w:p>
      <w:pPr>
        <w:pStyle w:val="ListParagraph"/>
        <w:numPr>
          <w:ilvl w:val="0"/>
          <w:numId w:val="2"/>
        </w:numPr>
        <w:spacing w:after="40"/>
      </w:pPr>
      <w:r>
        <w:rPr>
          <w:rFonts w:ascii="Calibri" w:cs="Calibri" w:eastAsia="Calibri" w:hAnsi="Calibri"/>
          <w:sz w:val="24"/>
          <w:szCs w:val="24"/>
        </w:rPr>
        <w:t xml:space="preserve">Offer public education on safe cosmetic practices and laser-safety standards.</w:t>
      </w:r>
    </w:p>
    <w:p>
      <w:pPr>
        <w:pStyle w:val="ListParagraph"/>
        <w:numPr>
          <w:ilvl w:val="0"/>
          <w:numId w:val="2"/>
        </w:numPr>
        <w:spacing w:after="40"/>
      </w:pPr>
      <w:r>
        <w:rPr>
          <w:rFonts w:ascii="Calibri" w:cs="Calibri" w:eastAsia="Calibri" w:hAnsi="Calibri"/>
          <w:sz w:val="24"/>
          <w:szCs w:val="24"/>
        </w:rPr>
        <w:t xml:space="preserve">Partner with local and international healthcare and aesthetic organizations.</w:t>
      </w:r>
    </w:p>
    <w:p>
      <w:pPr>
        <w:spacing w:after="40" w:before="120"/>
      </w:pPr>
      <w:r>
        <w:rPr>
          <w:rFonts w:ascii="Calibri" w:cs="Calibri" w:eastAsia="Calibri" w:hAnsi="Calibri"/>
          <w:b/>
          <w:bCs/>
          <w:color w:val="9A3318"/>
          <w:sz w:val="24"/>
          <w:szCs w:val="24"/>
        </w:rPr>
        <w:t xml:space="preserve">✅ 5. Student Success and Career Development</w:t>
      </w:r>
    </w:p>
    <w:p>
      <w:pPr>
        <w:pStyle w:val="ListParagraph"/>
        <w:numPr>
          <w:ilvl w:val="0"/>
          <w:numId w:val="2"/>
        </w:numPr>
        <w:spacing w:after="40"/>
      </w:pPr>
      <w:r>
        <w:rPr>
          <w:rFonts w:ascii="Calibri" w:cs="Calibri" w:eastAsia="Calibri" w:hAnsi="Calibri"/>
          <w:sz w:val="24"/>
          <w:szCs w:val="24"/>
        </w:rPr>
        <w:t xml:space="preserve">Strengthen career services with clinical internships, mentorship programmes, and job placements.</w:t>
      </w:r>
    </w:p>
    <w:p>
      <w:pPr>
        <w:pStyle w:val="ListParagraph"/>
        <w:numPr>
          <w:ilvl w:val="0"/>
          <w:numId w:val="2"/>
        </w:numPr>
        <w:spacing w:after="40"/>
      </w:pPr>
      <w:r>
        <w:rPr>
          <w:rFonts w:ascii="Calibri" w:cs="Calibri" w:eastAsia="Calibri" w:hAnsi="Calibri"/>
          <w:sz w:val="24"/>
          <w:szCs w:val="24"/>
        </w:rPr>
        <w:t xml:space="preserve">Provide certification courses in laser safety and advanced cosmetic techniques to enhance employability.</w:t>
      </w:r>
    </w:p>
    <w:p>
      <w:pPr>
        <w:pStyle w:val="ListParagraph"/>
        <w:numPr>
          <w:ilvl w:val="0"/>
          <w:numId w:val="2"/>
        </w:numPr>
        <w:spacing w:after="40"/>
      </w:pPr>
      <w:r>
        <w:rPr>
          <w:rFonts w:ascii="Calibri" w:cs="Calibri" w:eastAsia="Calibri" w:hAnsi="Calibri"/>
          <w:sz w:val="24"/>
          <w:szCs w:val="24"/>
        </w:rPr>
        <w:t xml:space="preserve">Foster alumni networks to support graduates' career advancement.</w:t>
      </w:r>
    </w:p>
    <w:p>
      <w:pPr>
        <w:spacing w:after="40" w:before="120"/>
      </w:pPr>
      <w:r>
        <w:rPr>
          <w:rFonts w:ascii="Calibri" w:cs="Calibri" w:eastAsia="Calibri" w:hAnsi="Calibri"/>
          <w:b/>
          <w:bCs/>
          <w:color w:val="9A3318"/>
          <w:sz w:val="24"/>
          <w:szCs w:val="24"/>
        </w:rPr>
        <w:t xml:space="preserve">✅ 6. Quality Assurance and Global Accreditation</w:t>
      </w:r>
    </w:p>
    <w:p>
      <w:pPr>
        <w:pStyle w:val="ListParagraph"/>
        <w:numPr>
          <w:ilvl w:val="0"/>
          <w:numId w:val="2"/>
        </w:numPr>
        <w:spacing w:after="40"/>
      </w:pPr>
      <w:r>
        <w:rPr>
          <w:rFonts w:ascii="Calibri" w:cs="Calibri" w:eastAsia="Calibri" w:hAnsi="Calibri"/>
          <w:sz w:val="24"/>
          <w:szCs w:val="24"/>
        </w:rPr>
        <w:t xml:space="preserve">Ensure compliance with MoHESR standards and pursue international accreditation.</w:t>
      </w:r>
    </w:p>
    <w:p>
      <w:pPr>
        <w:pStyle w:val="ListParagraph"/>
        <w:numPr>
          <w:ilvl w:val="0"/>
          <w:numId w:val="2"/>
        </w:numPr>
        <w:spacing w:after="40"/>
      </w:pPr>
      <w:r>
        <w:rPr>
          <w:rFonts w:ascii="Calibri" w:cs="Calibri" w:eastAsia="Calibri" w:hAnsi="Calibri"/>
          <w:sz w:val="24"/>
          <w:szCs w:val="24"/>
        </w:rPr>
        <w:t xml:space="preserve">Embed international laser-safety and clinical-practice standards into teaching and training.</w:t>
      </w:r>
    </w:p>
    <w:p>
      <w:pPr>
        <w:pStyle w:val="ListParagraph"/>
        <w:numPr>
          <w:ilvl w:val="0"/>
          <w:numId w:val="2"/>
        </w:numPr>
        <w:spacing w:after="40"/>
      </w:pPr>
      <w:r>
        <w:rPr>
          <w:rFonts w:ascii="Calibri" w:cs="Calibri" w:eastAsia="Calibri" w:hAnsi="Calibri"/>
          <w:sz w:val="24"/>
          <w:szCs w:val="24"/>
        </w:rPr>
        <w:t xml:space="preserve">Regularly update the curriculum to reflect advances in medical aesthetics.</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green clinic management and responsible consumables use into the curriculum.</w:t>
      </w:r>
    </w:p>
    <w:p>
      <w:pPr>
        <w:pStyle w:val="ListParagraph"/>
        <w:numPr>
          <w:ilvl w:val="0"/>
          <w:numId w:val="2"/>
        </w:numPr>
        <w:spacing w:after="40"/>
      </w:pPr>
      <w:r>
        <w:rPr>
          <w:rFonts w:ascii="Calibri" w:cs="Calibri" w:eastAsia="Calibri" w:hAnsi="Calibri"/>
          <w:sz w:val="24"/>
          <w:szCs w:val="24"/>
        </w:rPr>
        <w:t xml:space="preserve">Embed AI-assisted skin analysis and treatment-planning tools in training.</w:t>
      </w:r>
    </w:p>
    <w:p>
      <w:pPr>
        <w:pStyle w:val="ListParagraph"/>
        <w:numPr>
          <w:ilvl w:val="0"/>
          <w:numId w:val="2"/>
        </w:numPr>
        <w:spacing w:after="40"/>
      </w:pPr>
      <w:r>
        <w:rPr>
          <w:rFonts w:ascii="Calibri" w:cs="Calibri" w:eastAsia="Calibri" w:hAnsi="Calibri"/>
          <w:sz w:val="24"/>
          <w:szCs w:val="24"/>
        </w:rPr>
        <w:t xml:space="preserve">Promote community awareness of safe, sustainable cosmetic practice.</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Cosmetic Techniques and Laser programme define the scientific knowledge, technical proficiency, and ethical standards expected of its graduates. The programme follows the Iraqi academic teaching system of MoHESR, with outcomes formulated in a measurable, outcome-based manner consistent with the Iraq National Qualifications Framework, promoting safe, evidence-based aesthetic practice within the community of Mosul.</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knowledge of skin science and laser physics to the safe practice of cosmetic and laser procedures.</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Operate laser and cosmetic devices safely and competently in accordance with international laser-safety standards.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Assess client conditions and develop evidence-based treatment plans with accurate documentation.</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Implement infection-control and safety protocols in cosmetic and laser clinical settings.</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cultural sensitivity, and client education, raising community awareness of safe cosmetic practice in Mosul.</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applications in skin analysis and treatment planning.</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environmentally responsible practices in cosmetic and laser clinics, including safe waste handling.</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treatment outcome data to improve safety and effectiveness of procedures.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Promote sustainable, evidence-based aesthetic services in the Iraqi market.</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Demonstrate green professional citizenship and support the SDGs through safe, responsible practice.</w:t>
      </w:r>
    </w:p>
    <w:p>
      <w:pPr>
        <w:pStyle w:val="Heading2"/>
        <w:spacing w:before="240"/>
      </w:pPr>
      <w:r>
        <w:rPr>
          <w:rFonts w:ascii="Calibri" w:cs="Calibri" w:eastAsia="Calibri" w:hAnsi="Calibri"/>
        </w:rPr>
        <w:t xml:space="preserve">Department of Artificial Kidney Techniques (DAKT)</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Artificial Kidney Techniques programme as offered by Al-Hadba University under the supervision of the Ministry of Higher Education and Scientific Research (MoHESR). The programme leads to the award of Bachelor of Science (B.Sc.) in Artificial Kidney Techniques after 4 academic years of full-time study, and is delivered through the Iraqi academic teaching system and its course-unit framework, in accordance with MoHESR regulations.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Health and Medical Techniques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Artificial Kidney Techniques</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DAKT</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AHU15400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Artificial Kidney Techniques</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Iraqi academic teaching system (MoHESR)</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1 class hour/week = 1 unit, and 2 lab hours/week = 1 unit</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artificial kidney (renal dialysis) technology education, recognized for producing competent, compassionate dialysis professionals who improve the safety, quality, and outcomes of care for kidney patients in Iraq and beyond.</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Artificial Kidney Techniques at AHU is committed to:</w:t>
      </w:r>
    </w:p>
    <w:p>
      <w:pPr>
        <w:pStyle w:val="ListParagraph"/>
        <w:numPr>
          <w:ilvl w:val="0"/>
          <w:numId w:val="2"/>
        </w:numPr>
        <w:spacing w:after="40"/>
      </w:pPr>
      <w:r>
        <w:rPr>
          <w:rFonts w:ascii="Calibri" w:cs="Calibri" w:eastAsia="Calibri" w:hAnsi="Calibri"/>
          <w:sz w:val="24"/>
          <w:szCs w:val="24"/>
        </w:rPr>
        <w:t xml:space="preserve">Delivering high-quality artificial kidney (renal dialysis) education that combines clinical expertise with modern technology.</w:t>
      </w:r>
    </w:p>
    <w:p>
      <w:pPr>
        <w:pStyle w:val="ListParagraph"/>
        <w:numPr>
          <w:ilvl w:val="0"/>
          <w:numId w:val="2"/>
        </w:numPr>
        <w:spacing w:after="40"/>
      </w:pPr>
      <w:r>
        <w:rPr>
          <w:rFonts w:ascii="Calibri" w:cs="Calibri" w:eastAsia="Calibri" w:hAnsi="Calibri"/>
          <w:sz w:val="24"/>
          <w:szCs w:val="24"/>
        </w:rPr>
        <w:t xml:space="preserve">Preparing competent, compassionate dialysis professionals committed to patient-centred care.</w:t>
      </w:r>
    </w:p>
    <w:p>
      <w:pPr>
        <w:pStyle w:val="ListParagraph"/>
        <w:numPr>
          <w:ilvl w:val="0"/>
          <w:numId w:val="2"/>
        </w:numPr>
        <w:spacing w:after="40"/>
      </w:pPr>
      <w:r>
        <w:rPr>
          <w:rFonts w:ascii="Calibri" w:cs="Calibri" w:eastAsia="Calibri" w:hAnsi="Calibri"/>
          <w:sz w:val="24"/>
          <w:szCs w:val="24"/>
        </w:rPr>
        <w:t xml:space="preserve">Advancing scientific research in dialysis outcomes, patient safety, and kidney care.</w:t>
      </w:r>
    </w:p>
    <w:p>
      <w:pPr>
        <w:pStyle w:val="ListParagraph"/>
        <w:numPr>
          <w:ilvl w:val="0"/>
          <w:numId w:val="2"/>
        </w:numPr>
        <w:spacing w:after="40"/>
      </w:pPr>
      <w:r>
        <w:rPr>
          <w:rFonts w:ascii="Calibri" w:cs="Calibri" w:eastAsia="Calibri" w:hAnsi="Calibri"/>
          <w:sz w:val="24"/>
          <w:szCs w:val="24"/>
        </w:rPr>
        <w:t xml:space="preserve">Promoting community kidney-health awareness, prevention, and early detection.</w:t>
      </w:r>
    </w:p>
    <w:p>
      <w:pPr>
        <w:pStyle w:val="ListParagraph"/>
        <w:numPr>
          <w:ilvl w:val="0"/>
          <w:numId w:val="2"/>
        </w:numPr>
        <w:spacing w:after="40"/>
      </w:pPr>
      <w:r>
        <w:rPr>
          <w:rFonts w:ascii="Calibri" w:cs="Calibri" w:eastAsia="Calibri" w:hAnsi="Calibri"/>
          <w:sz w:val="24"/>
          <w:szCs w:val="24"/>
        </w:rPr>
        <w:t xml:space="preserve">Fostering partnerships with hospitals and nephrology centres to enhance training and career opportunities.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Innovation</w:t>
      </w:r>
    </w:p>
    <w:p>
      <w:pPr>
        <w:pStyle w:val="ListParagraph"/>
        <w:numPr>
          <w:ilvl w:val="0"/>
          <w:numId w:val="2"/>
        </w:numPr>
        <w:spacing w:after="40"/>
      </w:pPr>
      <w:r>
        <w:rPr>
          <w:rFonts w:ascii="Calibri" w:cs="Calibri" w:eastAsia="Calibri" w:hAnsi="Calibri"/>
          <w:sz w:val="24"/>
          <w:szCs w:val="24"/>
        </w:rPr>
        <w:t xml:space="preserve">Offer modern, evidence-based curricula in renal physiology, haemodialysis, and peritoneal dialysis technology.</w:t>
      </w:r>
    </w:p>
    <w:p>
      <w:pPr>
        <w:pStyle w:val="ListParagraph"/>
        <w:numPr>
          <w:ilvl w:val="0"/>
          <w:numId w:val="2"/>
        </w:numPr>
        <w:spacing w:after="40"/>
      </w:pPr>
      <w:r>
        <w:rPr>
          <w:rFonts w:ascii="Calibri" w:cs="Calibri" w:eastAsia="Calibri" w:hAnsi="Calibri"/>
          <w:sz w:val="24"/>
          <w:szCs w:val="24"/>
        </w:rPr>
        <w:t xml:space="preserve">Integrate emerging dialysis technologies and infection-control practices into the curriculum.</w:t>
      </w:r>
    </w:p>
    <w:p>
      <w:pPr>
        <w:pStyle w:val="ListParagraph"/>
        <w:numPr>
          <w:ilvl w:val="0"/>
          <w:numId w:val="2"/>
        </w:numPr>
        <w:spacing w:after="40"/>
      </w:pPr>
      <w:r>
        <w:rPr>
          <w:rFonts w:ascii="Calibri" w:cs="Calibri" w:eastAsia="Calibri" w:hAnsi="Calibri"/>
          <w:sz w:val="24"/>
          <w:szCs w:val="24"/>
        </w:rPr>
        <w:t xml:space="preserve">Foster clinical reasoning, technical precision, and patient-centred care expertise.</w:t>
      </w:r>
    </w:p>
    <w:p>
      <w:pPr>
        <w:spacing w:after="40" w:before="120"/>
      </w:pPr>
      <w:r>
        <w:rPr>
          <w:rFonts w:ascii="Calibri" w:cs="Calibri" w:eastAsia="Calibri" w:hAnsi="Calibri"/>
          <w:b/>
          <w:bCs/>
          <w:color w:val="9A3318"/>
          <w:sz w:val="24"/>
          <w:szCs w:val="24"/>
        </w:rPr>
        <w:t xml:space="preserve">✅ 2. Practical Clinical Training and Skill Development</w:t>
      </w:r>
    </w:p>
    <w:p>
      <w:pPr>
        <w:pStyle w:val="ListParagraph"/>
        <w:numPr>
          <w:ilvl w:val="0"/>
          <w:numId w:val="2"/>
        </w:numPr>
        <w:spacing w:after="40"/>
      </w:pPr>
      <w:r>
        <w:rPr>
          <w:rFonts w:ascii="Calibri" w:cs="Calibri" w:eastAsia="Calibri" w:hAnsi="Calibri"/>
          <w:sz w:val="24"/>
          <w:szCs w:val="24"/>
        </w:rPr>
        <w:t xml:space="preserve">Provide extensive hands-on training in hospital dialysis units and nephrology departments.</w:t>
      </w:r>
    </w:p>
    <w:p>
      <w:pPr>
        <w:pStyle w:val="ListParagraph"/>
        <w:numPr>
          <w:ilvl w:val="0"/>
          <w:numId w:val="2"/>
        </w:numPr>
        <w:spacing w:after="40"/>
      </w:pPr>
      <w:r>
        <w:rPr>
          <w:rFonts w:ascii="Calibri" w:cs="Calibri" w:eastAsia="Calibri" w:hAnsi="Calibri"/>
          <w:sz w:val="24"/>
          <w:szCs w:val="24"/>
        </w:rPr>
        <w:t xml:space="preserve">Develop simulation-based modules for dialysis machine operation, maintenance, and water-treatment systems.</w:t>
      </w:r>
    </w:p>
    <w:p>
      <w:pPr>
        <w:pStyle w:val="ListParagraph"/>
        <w:numPr>
          <w:ilvl w:val="0"/>
          <w:numId w:val="2"/>
        </w:numPr>
        <w:spacing w:after="40"/>
      </w:pPr>
      <w:r>
        <w:rPr>
          <w:rFonts w:ascii="Calibri" w:cs="Calibri" w:eastAsia="Calibri" w:hAnsi="Calibri"/>
          <w:sz w:val="24"/>
          <w:szCs w:val="24"/>
        </w:rPr>
        <w:t xml:space="preserve">Strengthen students' skills in patient monitoring, complication management, and emergency response.</w:t>
      </w:r>
    </w:p>
    <w:p>
      <w:pPr>
        <w:spacing w:after="40" w:before="120"/>
      </w:pPr>
      <w:r>
        <w:rPr>
          <w:rFonts w:ascii="Calibri" w:cs="Calibri" w:eastAsia="Calibri" w:hAnsi="Calibri"/>
          <w:b/>
          <w:bCs/>
          <w:color w:val="9A3318"/>
          <w:sz w:val="24"/>
          <w:szCs w:val="24"/>
        </w:rPr>
        <w:t xml:space="preserve">✅ 3. Research and Scientific Advancement</w:t>
      </w:r>
    </w:p>
    <w:p>
      <w:pPr>
        <w:pStyle w:val="ListParagraph"/>
        <w:numPr>
          <w:ilvl w:val="0"/>
          <w:numId w:val="2"/>
        </w:numPr>
        <w:spacing w:after="40"/>
      </w:pPr>
      <w:r>
        <w:rPr>
          <w:rFonts w:ascii="Calibri" w:cs="Calibri" w:eastAsia="Calibri" w:hAnsi="Calibri"/>
          <w:sz w:val="24"/>
          <w:szCs w:val="24"/>
        </w:rPr>
        <w:t xml:space="preserve">Promote faculty and student-led research on dialysis outcomes, patient safety, and kidney care.</w:t>
      </w:r>
    </w:p>
    <w:p>
      <w:pPr>
        <w:pStyle w:val="ListParagraph"/>
        <w:numPr>
          <w:ilvl w:val="0"/>
          <w:numId w:val="2"/>
        </w:numPr>
        <w:spacing w:after="40"/>
      </w:pPr>
      <w:r>
        <w:rPr>
          <w:rFonts w:ascii="Calibri" w:cs="Calibri" w:eastAsia="Calibri" w:hAnsi="Calibri"/>
          <w:sz w:val="24"/>
          <w:szCs w:val="24"/>
        </w:rPr>
        <w:t xml:space="preserve">Support publication of research findings in peer-reviewed journals.</w:t>
      </w:r>
    </w:p>
    <w:p>
      <w:pPr>
        <w:pStyle w:val="ListParagraph"/>
        <w:numPr>
          <w:ilvl w:val="0"/>
          <w:numId w:val="2"/>
        </w:numPr>
        <w:spacing w:after="40"/>
      </w:pPr>
      <w:r>
        <w:rPr>
          <w:rFonts w:ascii="Calibri" w:cs="Calibri" w:eastAsia="Calibri" w:hAnsi="Calibri"/>
          <w:sz w:val="24"/>
          <w:szCs w:val="24"/>
        </w:rPr>
        <w:t xml:space="preserve">Establish research partnerships with hospitals and nephrology centres.</w:t>
      </w:r>
    </w:p>
    <w:p>
      <w:pPr>
        <w:spacing w:after="40" w:before="120"/>
      </w:pPr>
      <w:r>
        <w:rPr>
          <w:rFonts w:ascii="Calibri" w:cs="Calibri" w:eastAsia="Calibri" w:hAnsi="Calibri"/>
          <w:b/>
          <w:bCs/>
          <w:color w:val="9A3318"/>
          <w:sz w:val="24"/>
          <w:szCs w:val="24"/>
        </w:rPr>
        <w:t xml:space="preserve">✅ 4. Community Engagement and Public Health Impact</w:t>
      </w:r>
    </w:p>
    <w:p>
      <w:pPr>
        <w:pStyle w:val="ListParagraph"/>
        <w:numPr>
          <w:ilvl w:val="0"/>
          <w:numId w:val="2"/>
        </w:numPr>
        <w:spacing w:after="40"/>
      </w:pPr>
      <w:r>
        <w:rPr>
          <w:rFonts w:ascii="Calibri" w:cs="Calibri" w:eastAsia="Calibri" w:hAnsi="Calibri"/>
          <w:sz w:val="24"/>
          <w:szCs w:val="24"/>
        </w:rPr>
        <w:t xml:space="preserve">Organize kidney health awareness campaigns and early-detection screening programmes.</w:t>
      </w:r>
    </w:p>
    <w:p>
      <w:pPr>
        <w:pStyle w:val="ListParagraph"/>
        <w:numPr>
          <w:ilvl w:val="0"/>
          <w:numId w:val="2"/>
        </w:numPr>
        <w:spacing w:after="40"/>
      </w:pPr>
      <w:r>
        <w:rPr>
          <w:rFonts w:ascii="Calibri" w:cs="Calibri" w:eastAsia="Calibri" w:hAnsi="Calibri"/>
          <w:sz w:val="24"/>
          <w:szCs w:val="24"/>
        </w:rPr>
        <w:t xml:space="preserve">Offer patient and family education on chronic kidney disease management and prevention.</w:t>
      </w:r>
    </w:p>
    <w:p>
      <w:pPr>
        <w:pStyle w:val="ListParagraph"/>
        <w:numPr>
          <w:ilvl w:val="0"/>
          <w:numId w:val="2"/>
        </w:numPr>
        <w:spacing w:after="40"/>
      </w:pPr>
      <w:r>
        <w:rPr>
          <w:rFonts w:ascii="Calibri" w:cs="Calibri" w:eastAsia="Calibri" w:hAnsi="Calibri"/>
          <w:sz w:val="24"/>
          <w:szCs w:val="24"/>
        </w:rPr>
        <w:t xml:space="preserve">Partner with local and international healthcare organizations.</w:t>
      </w:r>
    </w:p>
    <w:p>
      <w:pPr>
        <w:spacing w:after="40" w:before="120"/>
      </w:pPr>
      <w:r>
        <w:rPr>
          <w:rFonts w:ascii="Calibri" w:cs="Calibri" w:eastAsia="Calibri" w:hAnsi="Calibri"/>
          <w:b/>
          <w:bCs/>
          <w:color w:val="9A3318"/>
          <w:sz w:val="24"/>
          <w:szCs w:val="24"/>
        </w:rPr>
        <w:t xml:space="preserve">✅ 5. Student Success and Career Development</w:t>
      </w:r>
    </w:p>
    <w:p>
      <w:pPr>
        <w:pStyle w:val="ListParagraph"/>
        <w:numPr>
          <w:ilvl w:val="0"/>
          <w:numId w:val="2"/>
        </w:numPr>
        <w:spacing w:after="40"/>
      </w:pPr>
      <w:r>
        <w:rPr>
          <w:rFonts w:ascii="Calibri" w:cs="Calibri" w:eastAsia="Calibri" w:hAnsi="Calibri"/>
          <w:sz w:val="24"/>
          <w:szCs w:val="24"/>
        </w:rPr>
        <w:t xml:space="preserve">Strengthen career services with hospital internships, mentorship programmes, and job placements.</w:t>
      </w:r>
    </w:p>
    <w:p>
      <w:pPr>
        <w:pStyle w:val="ListParagraph"/>
        <w:numPr>
          <w:ilvl w:val="0"/>
          <w:numId w:val="2"/>
        </w:numPr>
        <w:spacing w:after="40"/>
      </w:pPr>
      <w:r>
        <w:rPr>
          <w:rFonts w:ascii="Calibri" w:cs="Calibri" w:eastAsia="Calibri" w:hAnsi="Calibri"/>
          <w:sz w:val="24"/>
          <w:szCs w:val="24"/>
        </w:rPr>
        <w:t xml:space="preserve">Provide certification courses in dialysis technology to enhance employability.</w:t>
      </w:r>
    </w:p>
    <w:p>
      <w:pPr>
        <w:pStyle w:val="ListParagraph"/>
        <w:numPr>
          <w:ilvl w:val="0"/>
          <w:numId w:val="2"/>
        </w:numPr>
        <w:spacing w:after="40"/>
      </w:pPr>
      <w:r>
        <w:rPr>
          <w:rFonts w:ascii="Calibri" w:cs="Calibri" w:eastAsia="Calibri" w:hAnsi="Calibri"/>
          <w:sz w:val="24"/>
          <w:szCs w:val="24"/>
        </w:rPr>
        <w:t xml:space="preserve">Foster alumni networks to support graduates' career advancement.</w:t>
      </w:r>
    </w:p>
    <w:p>
      <w:pPr>
        <w:spacing w:after="40" w:before="120"/>
      </w:pPr>
      <w:r>
        <w:rPr>
          <w:rFonts w:ascii="Calibri" w:cs="Calibri" w:eastAsia="Calibri" w:hAnsi="Calibri"/>
          <w:b/>
          <w:bCs/>
          <w:color w:val="9A3318"/>
          <w:sz w:val="24"/>
          <w:szCs w:val="24"/>
        </w:rPr>
        <w:t xml:space="preserve">✅ 6. Quality Assurance and Global Accreditation</w:t>
      </w:r>
    </w:p>
    <w:p>
      <w:pPr>
        <w:pStyle w:val="ListParagraph"/>
        <w:numPr>
          <w:ilvl w:val="0"/>
          <w:numId w:val="2"/>
        </w:numPr>
        <w:spacing w:after="40"/>
      </w:pPr>
      <w:r>
        <w:rPr>
          <w:rFonts w:ascii="Calibri" w:cs="Calibri" w:eastAsia="Calibri" w:hAnsi="Calibri"/>
          <w:sz w:val="24"/>
          <w:szCs w:val="24"/>
        </w:rPr>
        <w:t xml:space="preserve">Ensure compliance with MoHESR standards and pursue international accreditation.</w:t>
      </w:r>
    </w:p>
    <w:p>
      <w:pPr>
        <w:pStyle w:val="ListParagraph"/>
        <w:numPr>
          <w:ilvl w:val="0"/>
          <w:numId w:val="2"/>
        </w:numPr>
        <w:spacing w:after="40"/>
      </w:pPr>
      <w:r>
        <w:rPr>
          <w:rFonts w:ascii="Calibri" w:cs="Calibri" w:eastAsia="Calibri" w:hAnsi="Calibri"/>
          <w:sz w:val="24"/>
          <w:szCs w:val="24"/>
        </w:rPr>
        <w:t xml:space="preserve">Align training with international renal-care and patient-safety standards.</w:t>
      </w:r>
    </w:p>
    <w:p>
      <w:pPr>
        <w:pStyle w:val="ListParagraph"/>
        <w:numPr>
          <w:ilvl w:val="0"/>
          <w:numId w:val="2"/>
        </w:numPr>
        <w:spacing w:after="40"/>
      </w:pPr>
      <w:r>
        <w:rPr>
          <w:rFonts w:ascii="Calibri" w:cs="Calibri" w:eastAsia="Calibri" w:hAnsi="Calibri"/>
          <w:sz w:val="24"/>
          <w:szCs w:val="24"/>
        </w:rPr>
        <w:t xml:space="preserve">Regularly update the curriculum to reflect advances in nephrology and dialysis practice.</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water and energy sustainability of dialysis systems into the curriculum.</w:t>
      </w:r>
    </w:p>
    <w:p>
      <w:pPr>
        <w:pStyle w:val="ListParagraph"/>
        <w:numPr>
          <w:ilvl w:val="0"/>
          <w:numId w:val="2"/>
        </w:numPr>
        <w:spacing w:after="40"/>
      </w:pPr>
      <w:r>
        <w:rPr>
          <w:rFonts w:ascii="Calibri" w:cs="Calibri" w:eastAsia="Calibri" w:hAnsi="Calibri"/>
          <w:sz w:val="24"/>
          <w:szCs w:val="24"/>
        </w:rPr>
        <w:t xml:space="preserve">Embed AI-supported monitoring and predictive maintenance of dialysis equipment in training.</w:t>
      </w:r>
    </w:p>
    <w:p>
      <w:pPr>
        <w:pStyle w:val="ListParagraph"/>
        <w:numPr>
          <w:ilvl w:val="0"/>
          <w:numId w:val="2"/>
        </w:numPr>
        <w:spacing w:after="40"/>
      </w:pPr>
      <w:r>
        <w:rPr>
          <w:rFonts w:ascii="Calibri" w:cs="Calibri" w:eastAsia="Calibri" w:hAnsi="Calibri"/>
          <w:sz w:val="24"/>
          <w:szCs w:val="24"/>
        </w:rPr>
        <w:t xml:space="preserve">Promote prevention-focused, sustainable kidney-care programmes in the community.</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Artificial Kidney Techniques programme specify the clinical and technical competences of its graduates. The programme is delivered through the Iraqi academic teaching system of MoHESR, with outcomes stated in a measurable, outcome-based form consistent with the Iraq National Qualifications Framework, addressing the growing demand for qualified dialysis professionals in Iraq and supporting kidney-health awareness and early detection within the local community.</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knowledge of renal physiology and dialysis principles to the care of patients with kidney disease.</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Operate, monitor, and maintain haemodialysis machines and water-treatment systems according to technical and safety standards.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Monitor patients throughout dialysis sessions and recognize and manage complications promptly.</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Apply infection-control and quality-assurance standards in dialysis units.</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compassion, professional ethics, and patient education, supporting kidney-health awareness and early detection in the Iraqi community.</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and smart monitoring in dialysis machine operation and patient care.</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water-conserving and energy-efficient practices in dialysis and water-treatment systems.</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dialysis quality and patient data to improve outcomes and resource use.</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Contribute to sustainable, cost-effective renal care services in Iraqi hospitals.</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kidney-health prevention and support the SDGs through sustainable clinical practice.</w:t>
      </w:r>
    </w:p>
    <w:p>
      <w:pPr>
        <w:pStyle w:val="Heading1"/>
        <w:pageBreakBefore/>
      </w:pPr>
      <w:r>
        <w:rPr>
          <w:rFonts w:ascii="Calibri" w:cs="Calibri" w:eastAsia="Calibri" w:hAnsi="Calibri"/>
        </w:rPr>
        <w:t xml:space="preserve">5. College of Computer Science and Mathematics (CCSM)</w:t>
      </w:r>
    </w:p>
    <w:p>
      <w:pPr>
        <w:pStyle w:val="Heading2"/>
        <w:spacing w:before="240"/>
      </w:pPr>
      <w:r>
        <w:rPr>
          <w:rFonts w:ascii="Calibri" w:cs="Calibri" w:eastAsia="Calibri" w:hAnsi="Calibri"/>
        </w:rPr>
        <w:t xml:space="preserve">Department of Computer Science (DCSC)</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Computer Science programme as offered by Al-Hadba University under the supervision of the Ministry of Higher Education and Scientific Research (MoHESR). The programme leads to the award of Bachelor of Science (B.Sc.) in Computer Science after 4 academic years of full-time study, and is delivered through the Bologna Process, with a two-semester structure, 240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Computer Science and Mathematics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Computer Science</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DCSC</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AHU20100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Computer Science</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240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computer science education and research, recognized for producing innovative, industry-ready graduates who drive digital transformation and contribute to Iraq's technological advancement and global competitiveness.</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Computer Science at AHU is committed to:</w:t>
      </w:r>
    </w:p>
    <w:p>
      <w:pPr>
        <w:pStyle w:val="ListParagraph"/>
        <w:numPr>
          <w:ilvl w:val="0"/>
          <w:numId w:val="2"/>
        </w:numPr>
        <w:spacing w:after="40"/>
      </w:pPr>
      <w:r>
        <w:rPr>
          <w:rFonts w:ascii="Calibri" w:cs="Calibri" w:eastAsia="Calibri" w:hAnsi="Calibri"/>
          <w:sz w:val="24"/>
          <w:szCs w:val="24"/>
        </w:rPr>
        <w:t xml:space="preserve">Delivering high-quality computer science education that integrates theory with practice.</w:t>
      </w:r>
    </w:p>
    <w:p>
      <w:pPr>
        <w:pStyle w:val="ListParagraph"/>
        <w:numPr>
          <w:ilvl w:val="0"/>
          <w:numId w:val="2"/>
        </w:numPr>
        <w:spacing w:after="40"/>
      </w:pPr>
      <w:r>
        <w:rPr>
          <w:rFonts w:ascii="Calibri" w:cs="Calibri" w:eastAsia="Calibri" w:hAnsi="Calibri"/>
          <w:sz w:val="24"/>
          <w:szCs w:val="24"/>
        </w:rPr>
        <w:t xml:space="preserve">Developing skilled, ethical technology professionals through innovative programmes.</w:t>
      </w:r>
    </w:p>
    <w:p>
      <w:pPr>
        <w:pStyle w:val="ListParagraph"/>
        <w:numPr>
          <w:ilvl w:val="0"/>
          <w:numId w:val="2"/>
        </w:numPr>
        <w:spacing w:after="40"/>
      </w:pPr>
      <w:r>
        <w:rPr>
          <w:rFonts w:ascii="Calibri" w:cs="Calibri" w:eastAsia="Calibri" w:hAnsi="Calibri"/>
          <w:sz w:val="24"/>
          <w:szCs w:val="24"/>
        </w:rPr>
        <w:t xml:space="preserve">Advancing applied research in computing, artificial intelligence, and digital innovation.</w:t>
      </w:r>
    </w:p>
    <w:p>
      <w:pPr>
        <w:pStyle w:val="ListParagraph"/>
        <w:numPr>
          <w:ilvl w:val="0"/>
          <w:numId w:val="2"/>
        </w:numPr>
        <w:spacing w:after="40"/>
      </w:pPr>
      <w:r>
        <w:rPr>
          <w:rFonts w:ascii="Calibri" w:cs="Calibri" w:eastAsia="Calibri" w:hAnsi="Calibri"/>
          <w:sz w:val="24"/>
          <w:szCs w:val="24"/>
        </w:rPr>
        <w:t xml:space="preserve">Contributing to Iraq's digital transformation and building community digital skills.</w:t>
      </w:r>
    </w:p>
    <w:p>
      <w:pPr>
        <w:pStyle w:val="ListParagraph"/>
        <w:numPr>
          <w:ilvl w:val="0"/>
          <w:numId w:val="2"/>
        </w:numPr>
        <w:spacing w:after="40"/>
      </w:pPr>
      <w:r>
        <w:rPr>
          <w:rFonts w:ascii="Calibri" w:cs="Calibri" w:eastAsia="Calibri" w:hAnsi="Calibri"/>
          <w:sz w:val="24"/>
          <w:szCs w:val="24"/>
        </w:rPr>
        <w:t xml:space="preserve">Strengthening industry partnerships to enhance internships, training, and employability.</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Development</w:t>
      </w:r>
    </w:p>
    <w:p>
      <w:pPr>
        <w:pStyle w:val="ListParagraph"/>
        <w:numPr>
          <w:ilvl w:val="0"/>
          <w:numId w:val="2"/>
        </w:numPr>
        <w:spacing w:after="40"/>
      </w:pPr>
      <w:r>
        <w:rPr>
          <w:rFonts w:ascii="Calibri" w:cs="Calibri" w:eastAsia="Calibri" w:hAnsi="Calibri"/>
          <w:sz w:val="24"/>
          <w:szCs w:val="24"/>
        </w:rPr>
        <w:t xml:space="preserve">Modernize computer science programmes to meet evolving technology industry demands.</w:t>
      </w:r>
    </w:p>
    <w:p>
      <w:pPr>
        <w:pStyle w:val="ListParagraph"/>
        <w:numPr>
          <w:ilvl w:val="0"/>
          <w:numId w:val="2"/>
        </w:numPr>
        <w:spacing w:after="40"/>
      </w:pPr>
      <w:r>
        <w:rPr>
          <w:rFonts w:ascii="Calibri" w:cs="Calibri" w:eastAsia="Calibri" w:hAnsi="Calibri"/>
          <w:sz w:val="24"/>
          <w:szCs w:val="24"/>
        </w:rPr>
        <w:t xml:space="preserve">Incorporate artificial intelligence, cybersecurity, data science, and software engineering into curricula.</w:t>
      </w:r>
    </w:p>
    <w:p>
      <w:pPr>
        <w:pStyle w:val="ListParagraph"/>
        <w:numPr>
          <w:ilvl w:val="0"/>
          <w:numId w:val="2"/>
        </w:numPr>
        <w:spacing w:after="40"/>
      </w:pPr>
      <w:r>
        <w:rPr>
          <w:rFonts w:ascii="Calibri" w:cs="Calibri" w:eastAsia="Calibri" w:hAnsi="Calibri"/>
          <w:sz w:val="24"/>
          <w:szCs w:val="24"/>
        </w:rPr>
        <w:t xml:space="preserve">Regularly review and update course content to align with international computing standards (e.g., ACM/IEEE guidelines) and MoHESR requirements.</w:t>
      </w:r>
    </w:p>
    <w:p>
      <w:pPr>
        <w:spacing w:after="40" w:before="120"/>
      </w:pPr>
      <w:r>
        <w:rPr>
          <w:rFonts w:ascii="Calibri" w:cs="Calibri" w:eastAsia="Calibri" w:hAnsi="Calibri"/>
          <w:b/>
          <w:bCs/>
          <w:color w:val="9A3318"/>
          <w:sz w:val="24"/>
          <w:szCs w:val="24"/>
        </w:rPr>
        <w:t xml:space="preserve">✅ 2. Research and Innovation</w:t>
      </w:r>
    </w:p>
    <w:p>
      <w:pPr>
        <w:pStyle w:val="ListParagraph"/>
        <w:numPr>
          <w:ilvl w:val="0"/>
          <w:numId w:val="2"/>
        </w:numPr>
        <w:spacing w:after="40"/>
      </w:pPr>
      <w:r>
        <w:rPr>
          <w:rFonts w:ascii="Calibri" w:cs="Calibri" w:eastAsia="Calibri" w:hAnsi="Calibri"/>
          <w:sz w:val="24"/>
          <w:szCs w:val="24"/>
        </w:rPr>
        <w:t xml:space="preserve">Promote interdisciplinary and applied research addressing local and global technology challenges.</w:t>
      </w:r>
    </w:p>
    <w:p>
      <w:pPr>
        <w:pStyle w:val="ListParagraph"/>
        <w:numPr>
          <w:ilvl w:val="0"/>
          <w:numId w:val="2"/>
        </w:numPr>
        <w:spacing w:after="40"/>
      </w:pPr>
      <w:r>
        <w:rPr>
          <w:rFonts w:ascii="Calibri" w:cs="Calibri" w:eastAsia="Calibri" w:hAnsi="Calibri"/>
          <w:sz w:val="24"/>
          <w:szCs w:val="24"/>
        </w:rPr>
        <w:t xml:space="preserve">Support faculty and student-led research initiatives in computing, AI, and digital innovation.</w:t>
      </w:r>
    </w:p>
    <w:p>
      <w:pPr>
        <w:pStyle w:val="ListParagraph"/>
        <w:numPr>
          <w:ilvl w:val="0"/>
          <w:numId w:val="2"/>
        </w:numPr>
        <w:spacing w:after="40"/>
      </w:pPr>
      <w:r>
        <w:rPr>
          <w:rFonts w:ascii="Calibri" w:cs="Calibri" w:eastAsia="Calibri" w:hAnsi="Calibri"/>
          <w:sz w:val="24"/>
          <w:szCs w:val="24"/>
        </w:rPr>
        <w:t xml:space="preserve">Encourage publication in reputable computer science journals and conferences.</w:t>
      </w:r>
    </w:p>
    <w:p>
      <w:pPr>
        <w:spacing w:after="40" w:before="120"/>
      </w:pPr>
      <w:r>
        <w:rPr>
          <w:rFonts w:ascii="Calibri" w:cs="Calibri" w:eastAsia="Calibri" w:hAnsi="Calibri"/>
          <w:b/>
          <w:bCs/>
          <w:color w:val="9A3318"/>
          <w:sz w:val="24"/>
          <w:szCs w:val="24"/>
        </w:rPr>
        <w:t xml:space="preserve">✅ 3. Industry and Community Partnerships</w:t>
      </w:r>
    </w:p>
    <w:p>
      <w:pPr>
        <w:pStyle w:val="ListParagraph"/>
        <w:numPr>
          <w:ilvl w:val="0"/>
          <w:numId w:val="2"/>
        </w:numPr>
        <w:spacing w:after="40"/>
      </w:pPr>
      <w:r>
        <w:rPr>
          <w:rFonts w:ascii="Calibri" w:cs="Calibri" w:eastAsia="Calibri" w:hAnsi="Calibri"/>
          <w:sz w:val="24"/>
          <w:szCs w:val="24"/>
        </w:rPr>
        <w:t xml:space="preserve">Strengthen collaboration with local and international technology companies and startups.</w:t>
      </w:r>
    </w:p>
    <w:p>
      <w:pPr>
        <w:pStyle w:val="ListParagraph"/>
        <w:numPr>
          <w:ilvl w:val="0"/>
          <w:numId w:val="2"/>
        </w:numPr>
        <w:spacing w:after="40"/>
      </w:pPr>
      <w:r>
        <w:rPr>
          <w:rFonts w:ascii="Calibri" w:cs="Calibri" w:eastAsia="Calibri" w:hAnsi="Calibri"/>
          <w:sz w:val="24"/>
          <w:szCs w:val="24"/>
        </w:rPr>
        <w:t xml:space="preserve">Develop industry-relevant internships and cooperative education programmes.</w:t>
      </w:r>
    </w:p>
    <w:p>
      <w:pPr>
        <w:pStyle w:val="ListParagraph"/>
        <w:numPr>
          <w:ilvl w:val="0"/>
          <w:numId w:val="2"/>
        </w:numPr>
        <w:spacing w:after="40"/>
      </w:pPr>
      <w:r>
        <w:rPr>
          <w:rFonts w:ascii="Calibri" w:cs="Calibri" w:eastAsia="Calibri" w:hAnsi="Calibri"/>
          <w:sz w:val="24"/>
          <w:szCs w:val="24"/>
        </w:rPr>
        <w:t xml:space="preserve">Enhance community outreach through digital-skills training and technology consultancy services.</w:t>
      </w:r>
    </w:p>
    <w:p>
      <w:pPr>
        <w:spacing w:after="40" w:before="120"/>
      </w:pPr>
      <w:r>
        <w:rPr>
          <w:rFonts w:ascii="Calibri" w:cs="Calibri" w:eastAsia="Calibri" w:hAnsi="Calibri"/>
          <w:b/>
          <w:bCs/>
          <w:color w:val="9A3318"/>
          <w:sz w:val="24"/>
          <w:szCs w:val="24"/>
        </w:rPr>
        <w:t xml:space="preserve">✅ 4. Student Success and Employability</w:t>
      </w:r>
    </w:p>
    <w:p>
      <w:pPr>
        <w:pStyle w:val="ListParagraph"/>
        <w:numPr>
          <w:ilvl w:val="0"/>
          <w:numId w:val="2"/>
        </w:numPr>
        <w:spacing w:after="40"/>
      </w:pPr>
      <w:r>
        <w:rPr>
          <w:rFonts w:ascii="Calibri" w:cs="Calibri" w:eastAsia="Calibri" w:hAnsi="Calibri"/>
          <w:sz w:val="24"/>
          <w:szCs w:val="24"/>
        </w:rPr>
        <w:t xml:space="preserve">Expand career services, offering mentoring, coaching, and job placement support.</w:t>
      </w:r>
    </w:p>
    <w:p>
      <w:pPr>
        <w:pStyle w:val="ListParagraph"/>
        <w:numPr>
          <w:ilvl w:val="0"/>
          <w:numId w:val="2"/>
        </w:numPr>
        <w:spacing w:after="40"/>
      </w:pPr>
      <w:r>
        <w:rPr>
          <w:rFonts w:ascii="Calibri" w:cs="Calibri" w:eastAsia="Calibri" w:hAnsi="Calibri"/>
          <w:sz w:val="24"/>
          <w:szCs w:val="24"/>
        </w:rPr>
        <w:t xml:space="preserve">Develop workshops, programming competitions, and certification programmes to boost technical skills.</w:t>
      </w:r>
    </w:p>
    <w:p>
      <w:pPr>
        <w:pStyle w:val="ListParagraph"/>
        <w:numPr>
          <w:ilvl w:val="0"/>
          <w:numId w:val="2"/>
        </w:numPr>
        <w:spacing w:after="40"/>
      </w:pPr>
      <w:r>
        <w:rPr>
          <w:rFonts w:ascii="Calibri" w:cs="Calibri" w:eastAsia="Calibri" w:hAnsi="Calibri"/>
          <w:sz w:val="24"/>
          <w:szCs w:val="24"/>
        </w:rPr>
        <w:t xml:space="preserve">Foster alumni networks to support career growth and mentorship.</w:t>
      </w:r>
    </w:p>
    <w:p>
      <w:pPr>
        <w:spacing w:after="40" w:before="120"/>
      </w:pPr>
      <w:r>
        <w:rPr>
          <w:rFonts w:ascii="Calibri" w:cs="Calibri" w:eastAsia="Calibri" w:hAnsi="Calibri"/>
          <w:b/>
          <w:bCs/>
          <w:color w:val="9A3318"/>
          <w:sz w:val="24"/>
          <w:szCs w:val="24"/>
        </w:rPr>
        <w:t xml:space="preserve">✅ 5. Digital Transformation</w:t>
      </w:r>
    </w:p>
    <w:p>
      <w:pPr>
        <w:pStyle w:val="ListParagraph"/>
        <w:numPr>
          <w:ilvl w:val="0"/>
          <w:numId w:val="2"/>
        </w:numPr>
        <w:spacing w:after="40"/>
      </w:pPr>
      <w:r>
        <w:rPr>
          <w:rFonts w:ascii="Calibri" w:cs="Calibri" w:eastAsia="Calibri" w:hAnsi="Calibri"/>
          <w:sz w:val="24"/>
          <w:szCs w:val="24"/>
        </w:rPr>
        <w:t xml:space="preserve">Integrate cutting-edge technologies and modern development tools into learning processes.</w:t>
      </w:r>
    </w:p>
    <w:p>
      <w:pPr>
        <w:pStyle w:val="ListParagraph"/>
        <w:numPr>
          <w:ilvl w:val="0"/>
          <w:numId w:val="2"/>
        </w:numPr>
        <w:spacing w:after="40"/>
      </w:pPr>
      <w:r>
        <w:rPr>
          <w:rFonts w:ascii="Calibri" w:cs="Calibri" w:eastAsia="Calibri" w:hAnsi="Calibri"/>
          <w:sz w:val="24"/>
          <w:szCs w:val="24"/>
        </w:rPr>
        <w:t xml:space="preserve">Utilize cloud computing, AI platforms, and data analytics to enhance student performance.</w:t>
      </w:r>
    </w:p>
    <w:p>
      <w:pPr>
        <w:pStyle w:val="ListParagraph"/>
        <w:numPr>
          <w:ilvl w:val="0"/>
          <w:numId w:val="2"/>
        </w:numPr>
        <w:spacing w:after="40"/>
      </w:pPr>
      <w:r>
        <w:rPr>
          <w:rFonts w:ascii="Calibri" w:cs="Calibri" w:eastAsia="Calibri" w:hAnsi="Calibri"/>
          <w:sz w:val="24"/>
          <w:szCs w:val="24"/>
        </w:rPr>
        <w:t xml:space="preserve">Offer blended and online learning options to increase accessibility.</w:t>
      </w:r>
    </w:p>
    <w:p>
      <w:pPr>
        <w:spacing w:after="40" w:before="120"/>
      </w:pPr>
      <w:r>
        <w:rPr>
          <w:rFonts w:ascii="Calibri" w:cs="Calibri" w:eastAsia="Calibri" w:hAnsi="Calibri"/>
          <w:b/>
          <w:bCs/>
          <w:color w:val="9A3318"/>
          <w:sz w:val="24"/>
          <w:szCs w:val="24"/>
        </w:rPr>
        <w:t xml:space="preserve">✅ 6.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Strengthen AI, machine learning, and data-science tracks within the curriculum.</w:t>
      </w:r>
    </w:p>
    <w:p>
      <w:pPr>
        <w:pStyle w:val="ListParagraph"/>
        <w:numPr>
          <w:ilvl w:val="0"/>
          <w:numId w:val="2"/>
        </w:numPr>
        <w:spacing w:after="40"/>
      </w:pPr>
      <w:r>
        <w:rPr>
          <w:rFonts w:ascii="Calibri" w:cs="Calibri" w:eastAsia="Calibri" w:hAnsi="Calibri"/>
          <w:sz w:val="24"/>
          <w:szCs w:val="24"/>
        </w:rPr>
        <w:t xml:space="preserve">Embed green software engineering and energy-aware computing in teaching and projects.</w:t>
      </w:r>
    </w:p>
    <w:p>
      <w:pPr>
        <w:pStyle w:val="ListParagraph"/>
        <w:numPr>
          <w:ilvl w:val="0"/>
          <w:numId w:val="2"/>
        </w:numPr>
        <w:spacing w:after="40"/>
      </w:pPr>
      <w:r>
        <w:rPr>
          <w:rFonts w:ascii="Calibri" w:cs="Calibri" w:eastAsia="Calibri" w:hAnsi="Calibri"/>
          <w:sz w:val="24"/>
          <w:szCs w:val="24"/>
        </w:rPr>
        <w:t xml:space="preserve">Direct capstone projects toward sustainability challenges and SDG-aligned applications.</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Computer Science programme define the computational knowledge, software development skills, and professional attributes of its graduates. Developed in line with the outcome-based approach of the Bologna Process and the Iraq National Qualifications Framework, they support Iraq's digital transformation agenda and the growing technology sector serving Mosul's institutions and businesses.</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computing and mathematical foundations to analyze and solve computational problems.</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Design, develop, and test software systems using modern programming languages and tools to serve Iraqi institutions and businesses.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Apply artificial intelligence, data science, and cybersecurity techniques to real-world problems supporting Iraq's digital transformation.</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Administer databases, networks, and information systems securely and efficiently.</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teamwork, effective communication, and entrepreneurial and lifelong-learning skills in the technology sector.</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Design, train, and deploy artificial intelligence and machine-learning models for real-world applications.</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green software engineering and energy-efficient computing principles.</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large datasets using data science to support sustainable decision-making.</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Develop innovative digital solutions addressing environmental and societal challenges in Iraq.</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Demonstrate responsible, ethical AI practice and contribute to the SDGs through computing.</w:t>
      </w:r>
    </w:p>
    <w:p>
      <w:pPr>
        <w:pStyle w:val="Heading1"/>
        <w:pageBreakBefore/>
      </w:pPr>
      <w:r>
        <w:rPr>
          <w:rFonts w:ascii="Calibri" w:cs="Calibri" w:eastAsia="Calibri" w:hAnsi="Calibri"/>
        </w:rPr>
        <w:t xml:space="preserve">6. College of Engineering (CENG)</w:t>
      </w:r>
    </w:p>
    <w:p>
      <w:pPr>
        <w:pStyle w:val="Heading2"/>
        <w:spacing w:before="240"/>
      </w:pPr>
      <w:r>
        <w:rPr>
          <w:rFonts w:ascii="Calibri" w:cs="Calibri" w:eastAsia="Calibri" w:hAnsi="Calibri"/>
        </w:rPr>
        <w:t xml:space="preserve">Department of Architectural Engineering (DARE)</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Architectural Engineering programme as offered by Al-Hadba University under the supervision of the Ministry of Higher Education and Scientific Research (MoHESR). The programme leads to the award of Bachelor of Science (B.Sc.) in Architectural Engineering after 5 academic years of full-time study, and is delivered through the Bologna Process, with a two-semester structure, 300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Engineering</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Architectural Engineering</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DARE</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AHU21100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Architectural Engineering</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5 academic years (10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300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architectural engineering education, recognized for producing creative, technically skilled architects who shape sustainable built environments, preserve Mosul's architectural heritage, and contribute to Iraq's reconstruction and urban renaissance.</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Architectural Engineering at AHU is committed to:</w:t>
      </w:r>
    </w:p>
    <w:p>
      <w:pPr>
        <w:pStyle w:val="ListParagraph"/>
        <w:numPr>
          <w:ilvl w:val="0"/>
          <w:numId w:val="2"/>
        </w:numPr>
        <w:spacing w:after="40"/>
      </w:pPr>
      <w:r>
        <w:rPr>
          <w:rFonts w:ascii="Calibri" w:cs="Calibri" w:eastAsia="Calibri" w:hAnsi="Calibri"/>
          <w:sz w:val="24"/>
          <w:szCs w:val="24"/>
        </w:rPr>
        <w:t xml:space="preserve">Delivering high-quality architectural education that integrates design creativity with engineering rigour.</w:t>
      </w:r>
    </w:p>
    <w:p>
      <w:pPr>
        <w:pStyle w:val="ListParagraph"/>
        <w:numPr>
          <w:ilvl w:val="0"/>
          <w:numId w:val="2"/>
        </w:numPr>
        <w:spacing w:after="40"/>
      </w:pPr>
      <w:r>
        <w:rPr>
          <w:rFonts w:ascii="Calibri" w:cs="Calibri" w:eastAsia="Calibri" w:hAnsi="Calibri"/>
          <w:sz w:val="24"/>
          <w:szCs w:val="24"/>
        </w:rPr>
        <w:t xml:space="preserve">Preparing skilled architects committed to sustainability and the preservation of architectural heritage.</w:t>
      </w:r>
    </w:p>
    <w:p>
      <w:pPr>
        <w:pStyle w:val="ListParagraph"/>
        <w:numPr>
          <w:ilvl w:val="0"/>
          <w:numId w:val="2"/>
        </w:numPr>
        <w:spacing w:after="40"/>
      </w:pPr>
      <w:r>
        <w:rPr>
          <w:rFonts w:ascii="Calibri" w:cs="Calibri" w:eastAsia="Calibri" w:hAnsi="Calibri"/>
          <w:sz w:val="24"/>
          <w:szCs w:val="24"/>
        </w:rPr>
        <w:t xml:space="preserve">Advancing research in urban regeneration, heritage conservation, and sustainable design.</w:t>
      </w:r>
    </w:p>
    <w:p>
      <w:pPr>
        <w:pStyle w:val="ListParagraph"/>
        <w:numPr>
          <w:ilvl w:val="0"/>
          <w:numId w:val="2"/>
        </w:numPr>
        <w:spacing w:after="40"/>
      </w:pPr>
      <w:r>
        <w:rPr>
          <w:rFonts w:ascii="Calibri" w:cs="Calibri" w:eastAsia="Calibri" w:hAnsi="Calibri"/>
          <w:sz w:val="24"/>
          <w:szCs w:val="24"/>
        </w:rPr>
        <w:t xml:space="preserve">Contributing to the reconstruction of Mosul through community engagement and design consultancy.</w:t>
      </w:r>
    </w:p>
    <w:p>
      <w:pPr>
        <w:pStyle w:val="ListParagraph"/>
        <w:numPr>
          <w:ilvl w:val="0"/>
          <w:numId w:val="2"/>
        </w:numPr>
        <w:spacing w:after="40"/>
      </w:pPr>
      <w:r>
        <w:rPr>
          <w:rFonts w:ascii="Calibri" w:cs="Calibri" w:eastAsia="Calibri" w:hAnsi="Calibri"/>
          <w:sz w:val="24"/>
          <w:szCs w:val="24"/>
        </w:rPr>
        <w:t xml:space="preserve">Strengthening partnerships with design firms, municipalities, and reconstruction organizations.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Development</w:t>
      </w:r>
    </w:p>
    <w:p>
      <w:pPr>
        <w:pStyle w:val="ListParagraph"/>
        <w:numPr>
          <w:ilvl w:val="0"/>
          <w:numId w:val="2"/>
        </w:numPr>
        <w:spacing w:after="40"/>
      </w:pPr>
      <w:r>
        <w:rPr>
          <w:rFonts w:ascii="Calibri" w:cs="Calibri" w:eastAsia="Calibri" w:hAnsi="Calibri"/>
          <w:sz w:val="24"/>
          <w:szCs w:val="24"/>
        </w:rPr>
        <w:t xml:space="preserve">Modernize architectural programmes through design studios, building technology, and urban design courses aligned with international standards.</w:t>
      </w:r>
    </w:p>
    <w:p>
      <w:pPr>
        <w:pStyle w:val="ListParagraph"/>
        <w:numPr>
          <w:ilvl w:val="0"/>
          <w:numId w:val="2"/>
        </w:numPr>
        <w:spacing w:after="40"/>
      </w:pPr>
      <w:r>
        <w:rPr>
          <w:rFonts w:ascii="Calibri" w:cs="Calibri" w:eastAsia="Calibri" w:hAnsi="Calibri"/>
          <w:sz w:val="24"/>
          <w:szCs w:val="24"/>
        </w:rPr>
        <w:t xml:space="preserve">Incorporate heritage conservation, sustainable architecture, and green building practices into curricula.</w:t>
      </w:r>
    </w:p>
    <w:p>
      <w:pPr>
        <w:pStyle w:val="ListParagraph"/>
        <w:numPr>
          <w:ilvl w:val="0"/>
          <w:numId w:val="2"/>
        </w:numPr>
        <w:spacing w:after="40"/>
      </w:pPr>
      <w:r>
        <w:rPr>
          <w:rFonts w:ascii="Calibri" w:cs="Calibri" w:eastAsia="Calibri" w:hAnsi="Calibri"/>
          <w:sz w:val="24"/>
          <w:szCs w:val="24"/>
        </w:rPr>
        <w:t xml:space="preserve">Regularly review and update course content to align with international architectural education standards and MoHESR guidelines.</w:t>
      </w:r>
    </w:p>
    <w:p>
      <w:pPr>
        <w:spacing w:after="40" w:before="120"/>
      </w:pPr>
      <w:r>
        <w:rPr>
          <w:rFonts w:ascii="Calibri" w:cs="Calibri" w:eastAsia="Calibri" w:hAnsi="Calibri"/>
          <w:b/>
          <w:bCs/>
          <w:color w:val="9A3318"/>
          <w:sz w:val="24"/>
          <w:szCs w:val="24"/>
        </w:rPr>
        <w:t xml:space="preserve">✅ 2. Research and Innovation</w:t>
      </w:r>
    </w:p>
    <w:p>
      <w:pPr>
        <w:pStyle w:val="ListParagraph"/>
        <w:numPr>
          <w:ilvl w:val="0"/>
          <w:numId w:val="2"/>
        </w:numPr>
        <w:spacing w:after="40"/>
      </w:pPr>
      <w:r>
        <w:rPr>
          <w:rFonts w:ascii="Calibri" w:cs="Calibri" w:eastAsia="Calibri" w:hAnsi="Calibri"/>
          <w:sz w:val="24"/>
          <w:szCs w:val="24"/>
        </w:rPr>
        <w:t xml:space="preserve">Promote applied research in urban regeneration, heritage documentation, and sustainable design.</w:t>
      </w:r>
    </w:p>
    <w:p>
      <w:pPr>
        <w:pStyle w:val="ListParagraph"/>
        <w:numPr>
          <w:ilvl w:val="0"/>
          <w:numId w:val="2"/>
        </w:numPr>
        <w:spacing w:after="40"/>
      </w:pPr>
      <w:r>
        <w:rPr>
          <w:rFonts w:ascii="Calibri" w:cs="Calibri" w:eastAsia="Calibri" w:hAnsi="Calibri"/>
          <w:sz w:val="24"/>
          <w:szCs w:val="24"/>
        </w:rPr>
        <w:t xml:space="preserve">Support faculty and student-led research addressing Mosul's reconstruction and Iraq's built-environment challenges.</w:t>
      </w:r>
    </w:p>
    <w:p>
      <w:pPr>
        <w:pStyle w:val="ListParagraph"/>
        <w:numPr>
          <w:ilvl w:val="0"/>
          <w:numId w:val="2"/>
        </w:numPr>
        <w:spacing w:after="40"/>
      </w:pPr>
      <w:r>
        <w:rPr>
          <w:rFonts w:ascii="Calibri" w:cs="Calibri" w:eastAsia="Calibri" w:hAnsi="Calibri"/>
          <w:sz w:val="24"/>
          <w:szCs w:val="24"/>
        </w:rPr>
        <w:t xml:space="preserve">Encourage publication in reputable architecture and urban studies journals.</w:t>
      </w:r>
    </w:p>
    <w:p>
      <w:pPr>
        <w:spacing w:after="40" w:before="120"/>
      </w:pPr>
      <w:r>
        <w:rPr>
          <w:rFonts w:ascii="Calibri" w:cs="Calibri" w:eastAsia="Calibri" w:hAnsi="Calibri"/>
          <w:b/>
          <w:bCs/>
          <w:color w:val="9A3318"/>
          <w:sz w:val="24"/>
          <w:szCs w:val="24"/>
        </w:rPr>
        <w:t xml:space="preserve">✅ 3. Industry and Community Partnerships</w:t>
      </w:r>
    </w:p>
    <w:p>
      <w:pPr>
        <w:pStyle w:val="ListParagraph"/>
        <w:numPr>
          <w:ilvl w:val="0"/>
          <w:numId w:val="2"/>
        </w:numPr>
        <w:spacing w:after="40"/>
      </w:pPr>
      <w:r>
        <w:rPr>
          <w:rFonts w:ascii="Calibri" w:cs="Calibri" w:eastAsia="Calibri" w:hAnsi="Calibri"/>
          <w:sz w:val="24"/>
          <w:szCs w:val="24"/>
        </w:rPr>
        <w:t xml:space="preserve">Strengthen collaboration with design firms, municipalities, and heritage and reconstruction organizations.</w:t>
      </w:r>
    </w:p>
    <w:p>
      <w:pPr>
        <w:pStyle w:val="ListParagraph"/>
        <w:numPr>
          <w:ilvl w:val="0"/>
          <w:numId w:val="2"/>
        </w:numPr>
        <w:spacing w:after="40"/>
      </w:pPr>
      <w:r>
        <w:rPr>
          <w:rFonts w:ascii="Calibri" w:cs="Calibri" w:eastAsia="Calibri" w:hAnsi="Calibri"/>
          <w:sz w:val="24"/>
          <w:szCs w:val="24"/>
        </w:rPr>
        <w:t xml:space="preserve">Develop industry-relevant internships and participation in real reconstruction and conservation projects.</w:t>
      </w:r>
    </w:p>
    <w:p>
      <w:pPr>
        <w:pStyle w:val="ListParagraph"/>
        <w:numPr>
          <w:ilvl w:val="0"/>
          <w:numId w:val="2"/>
        </w:numPr>
        <w:spacing w:after="40"/>
      </w:pPr>
      <w:r>
        <w:rPr>
          <w:rFonts w:ascii="Calibri" w:cs="Calibri" w:eastAsia="Calibri" w:hAnsi="Calibri"/>
          <w:sz w:val="24"/>
          <w:szCs w:val="24"/>
        </w:rPr>
        <w:t xml:space="preserve">Enhance community outreach through architectural and urban design consultancy services.</w:t>
      </w:r>
    </w:p>
    <w:p>
      <w:pPr>
        <w:spacing w:after="40" w:before="120"/>
      </w:pPr>
      <w:r>
        <w:rPr>
          <w:rFonts w:ascii="Calibri" w:cs="Calibri" w:eastAsia="Calibri" w:hAnsi="Calibri"/>
          <w:b/>
          <w:bCs/>
          <w:color w:val="9A3318"/>
          <w:sz w:val="24"/>
          <w:szCs w:val="24"/>
        </w:rPr>
        <w:t xml:space="preserve">✅ 4. Student Success and Employability</w:t>
      </w:r>
    </w:p>
    <w:p>
      <w:pPr>
        <w:pStyle w:val="ListParagraph"/>
        <w:numPr>
          <w:ilvl w:val="0"/>
          <w:numId w:val="2"/>
        </w:numPr>
        <w:spacing w:after="40"/>
      </w:pPr>
      <w:r>
        <w:rPr>
          <w:rFonts w:ascii="Calibri" w:cs="Calibri" w:eastAsia="Calibri" w:hAnsi="Calibri"/>
          <w:sz w:val="24"/>
          <w:szCs w:val="24"/>
        </w:rPr>
        <w:t xml:space="preserve">Expand career services, offering mentoring, design competitions, and job placement support.</w:t>
      </w:r>
    </w:p>
    <w:p>
      <w:pPr>
        <w:pStyle w:val="ListParagraph"/>
        <w:numPr>
          <w:ilvl w:val="0"/>
          <w:numId w:val="2"/>
        </w:numPr>
        <w:spacing w:after="40"/>
      </w:pPr>
      <w:r>
        <w:rPr>
          <w:rFonts w:ascii="Calibri" w:cs="Calibri" w:eastAsia="Calibri" w:hAnsi="Calibri"/>
          <w:sz w:val="24"/>
          <w:szCs w:val="24"/>
        </w:rPr>
        <w:t xml:space="preserve">Develop workshops and certification programmes in BIM, CAD, and visualization tools to boost professional skills.</w:t>
      </w:r>
    </w:p>
    <w:p>
      <w:pPr>
        <w:pStyle w:val="ListParagraph"/>
        <w:numPr>
          <w:ilvl w:val="0"/>
          <w:numId w:val="2"/>
        </w:numPr>
        <w:spacing w:after="40"/>
      </w:pPr>
      <w:r>
        <w:rPr>
          <w:rFonts w:ascii="Calibri" w:cs="Calibri" w:eastAsia="Calibri" w:hAnsi="Calibri"/>
          <w:sz w:val="24"/>
          <w:szCs w:val="24"/>
        </w:rPr>
        <w:t xml:space="preserve">Foster alumni networks to support career growth and mentorship.</w:t>
      </w:r>
    </w:p>
    <w:p>
      <w:pPr>
        <w:spacing w:after="40" w:before="120"/>
      </w:pPr>
      <w:r>
        <w:rPr>
          <w:rFonts w:ascii="Calibri" w:cs="Calibri" w:eastAsia="Calibri" w:hAnsi="Calibri"/>
          <w:b/>
          <w:bCs/>
          <w:color w:val="9A3318"/>
          <w:sz w:val="24"/>
          <w:szCs w:val="24"/>
        </w:rPr>
        <w:t xml:space="preserve">✅ 5. Digital Transformation</w:t>
      </w:r>
    </w:p>
    <w:p>
      <w:pPr>
        <w:pStyle w:val="ListParagraph"/>
        <w:numPr>
          <w:ilvl w:val="0"/>
          <w:numId w:val="2"/>
        </w:numPr>
        <w:spacing w:after="40"/>
      </w:pPr>
      <w:r>
        <w:rPr>
          <w:rFonts w:ascii="Calibri" w:cs="Calibri" w:eastAsia="Calibri" w:hAnsi="Calibri"/>
          <w:sz w:val="24"/>
          <w:szCs w:val="24"/>
        </w:rPr>
        <w:t xml:space="preserve">Integrate Building Information Modelling (BIM), 3D modelling, and digital fabrication into learning processes.</w:t>
      </w:r>
    </w:p>
    <w:p>
      <w:pPr>
        <w:pStyle w:val="ListParagraph"/>
        <w:numPr>
          <w:ilvl w:val="0"/>
          <w:numId w:val="2"/>
        </w:numPr>
        <w:spacing w:after="40"/>
      </w:pPr>
      <w:r>
        <w:rPr>
          <w:rFonts w:ascii="Calibri" w:cs="Calibri" w:eastAsia="Calibri" w:hAnsi="Calibri"/>
          <w:sz w:val="24"/>
          <w:szCs w:val="24"/>
        </w:rPr>
        <w:t xml:space="preserve">Utilize simulation and visualization tools to enhance design quality and student performance.</w:t>
      </w:r>
    </w:p>
    <w:p>
      <w:pPr>
        <w:pStyle w:val="ListParagraph"/>
        <w:numPr>
          <w:ilvl w:val="0"/>
          <w:numId w:val="2"/>
        </w:numPr>
        <w:spacing w:after="40"/>
      </w:pPr>
      <w:r>
        <w:rPr>
          <w:rFonts w:ascii="Calibri" w:cs="Calibri" w:eastAsia="Calibri" w:hAnsi="Calibri"/>
          <w:sz w:val="24"/>
          <w:szCs w:val="24"/>
        </w:rPr>
        <w:t xml:space="preserve">Offer blended and online learning options to increase accessibility.</w:t>
      </w:r>
    </w:p>
    <w:p>
      <w:pPr>
        <w:spacing w:after="40" w:before="120"/>
      </w:pPr>
      <w:r>
        <w:rPr>
          <w:rFonts w:ascii="Calibri" w:cs="Calibri" w:eastAsia="Calibri" w:hAnsi="Calibri"/>
          <w:b/>
          <w:bCs/>
          <w:color w:val="9A3318"/>
          <w:sz w:val="24"/>
          <w:szCs w:val="24"/>
        </w:rPr>
        <w:t xml:space="preserve">✅ 6.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Embed green architecture, energy simulation, and sustainable materials in design studios.</w:t>
      </w:r>
    </w:p>
    <w:p>
      <w:pPr>
        <w:pStyle w:val="ListParagraph"/>
        <w:numPr>
          <w:ilvl w:val="0"/>
          <w:numId w:val="2"/>
        </w:numPr>
        <w:spacing w:after="40"/>
      </w:pPr>
      <w:r>
        <w:rPr>
          <w:rFonts w:ascii="Calibri" w:cs="Calibri" w:eastAsia="Calibri" w:hAnsi="Calibri"/>
          <w:sz w:val="24"/>
          <w:szCs w:val="24"/>
        </w:rPr>
        <w:t xml:space="preserve">Integrate AI-assisted and generative design tools into the curriculum.</w:t>
      </w:r>
    </w:p>
    <w:p>
      <w:pPr>
        <w:pStyle w:val="ListParagraph"/>
        <w:numPr>
          <w:ilvl w:val="0"/>
          <w:numId w:val="2"/>
        </w:numPr>
        <w:spacing w:after="40"/>
      </w:pPr>
      <w:r>
        <w:rPr>
          <w:rFonts w:ascii="Calibri" w:cs="Calibri" w:eastAsia="Calibri" w:hAnsi="Calibri"/>
          <w:sz w:val="24"/>
          <w:szCs w:val="24"/>
        </w:rPr>
        <w:t xml:space="preserve">Champion climate-responsive, heritage-sensitive reconstruction projects for Mosul.</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Architectural Engineering programme define the design, technical, and professional capabilities of its graduates. Formulated according to the outcome-based approach of the Bologna Process and the Iraq National Qualifications Framework, they carry a special responsibility toward the reconstruction of Mosul, the conservation of its historic urban fabric, and the creation of sustainable built environments across Iraq.</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Create architectural designs that integrate function, aesthetics, sustainability, and the cultural context of the built environment.</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Apply building technologies, materials, and codes in the preparation of design and construction documentation.</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Employ digital design tools (BIM, CAD, 3D modelling, and visualization) to produce professional architectural drawings and presentations.</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Analyze urban contexts and contribute to heritage conservation and the reconstruction of Mosul's historic urban fabric.</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teamwork, and effective communication with clients, communities, and interdisciplinary teams.</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and generative design tools in architectural design and analysis.</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Design green, energy-efficient buildings applying passive design and sustainable materials.</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environmental performance of buildings using simulation and assessment tools.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Develop sustainable designs for the reconstruction of Mosul that honour heritage and climate.</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green built-environment awareness and contribute to the SDGs through design practice.</w:t>
      </w:r>
    </w:p>
    <w:p>
      <w:pPr>
        <w:pStyle w:val="Heading2"/>
        <w:spacing w:before="240"/>
      </w:pPr>
      <w:r>
        <w:rPr>
          <w:rFonts w:ascii="Calibri" w:cs="Calibri" w:eastAsia="Calibri" w:hAnsi="Calibri"/>
        </w:rPr>
        <w:t xml:space="preserve">Department of Civil Engineering (DCEN)</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Civil Engineering programme as offered by Al-Hadba University under the supervision of the Ministry of Higher Education and Scientific Research (MoHESR). The programme leads to the award of Bachelor of Science (B.Sc.) in Civil Engineering after 4 academic years of full-time study, and is delivered through the Bologna Process, with a two-semester structure, 240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Engineering</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Civil Engineering</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DCEN</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AHU21200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Civil Engineering</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240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civil engineering education, recognized for producing competent, innovative engineers who deliver safe, resilient, and sustainable infrastructure and drive Iraq's reconstruction and long-term development.</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Civil Engineering at AHU is committed to:</w:t>
      </w:r>
    </w:p>
    <w:p>
      <w:pPr>
        <w:pStyle w:val="ListParagraph"/>
        <w:numPr>
          <w:ilvl w:val="0"/>
          <w:numId w:val="2"/>
        </w:numPr>
        <w:spacing w:after="40"/>
      </w:pPr>
      <w:r>
        <w:rPr>
          <w:rFonts w:ascii="Calibri" w:cs="Calibri" w:eastAsia="Calibri" w:hAnsi="Calibri"/>
          <w:sz w:val="24"/>
          <w:szCs w:val="24"/>
        </w:rPr>
        <w:t xml:space="preserve">Delivering high-quality civil engineering education that integrates theory with practice.</w:t>
      </w:r>
    </w:p>
    <w:p>
      <w:pPr>
        <w:pStyle w:val="ListParagraph"/>
        <w:numPr>
          <w:ilvl w:val="0"/>
          <w:numId w:val="2"/>
        </w:numPr>
        <w:spacing w:after="40"/>
      </w:pPr>
      <w:r>
        <w:rPr>
          <w:rFonts w:ascii="Calibri" w:cs="Calibri" w:eastAsia="Calibri" w:hAnsi="Calibri"/>
          <w:sz w:val="24"/>
          <w:szCs w:val="24"/>
        </w:rPr>
        <w:t xml:space="preserve">Preparing competent engineers capable of delivering safe, resilient, and sustainable infrastructure.</w:t>
      </w:r>
    </w:p>
    <w:p>
      <w:pPr>
        <w:pStyle w:val="ListParagraph"/>
        <w:numPr>
          <w:ilvl w:val="0"/>
          <w:numId w:val="2"/>
        </w:numPr>
        <w:spacing w:after="40"/>
      </w:pPr>
      <w:r>
        <w:rPr>
          <w:rFonts w:ascii="Calibri" w:cs="Calibri" w:eastAsia="Calibri" w:hAnsi="Calibri"/>
          <w:sz w:val="24"/>
          <w:szCs w:val="24"/>
        </w:rPr>
        <w:t xml:space="preserve">Advancing applied research in construction, materials, and infrastructure resilience.</w:t>
      </w:r>
    </w:p>
    <w:p>
      <w:pPr>
        <w:pStyle w:val="ListParagraph"/>
        <w:numPr>
          <w:ilvl w:val="0"/>
          <w:numId w:val="2"/>
        </w:numPr>
        <w:spacing w:after="40"/>
      </w:pPr>
      <w:r>
        <w:rPr>
          <w:rFonts w:ascii="Calibri" w:cs="Calibri" w:eastAsia="Calibri" w:hAnsi="Calibri"/>
          <w:sz w:val="24"/>
          <w:szCs w:val="24"/>
        </w:rPr>
        <w:t xml:space="preserve">Contributing to Iraq's reconstruction through engineering consultancy and community services.</w:t>
      </w:r>
    </w:p>
    <w:p>
      <w:pPr>
        <w:pStyle w:val="ListParagraph"/>
        <w:numPr>
          <w:ilvl w:val="0"/>
          <w:numId w:val="2"/>
        </w:numPr>
        <w:spacing w:after="40"/>
      </w:pPr>
      <w:r>
        <w:rPr>
          <w:rFonts w:ascii="Calibri" w:cs="Calibri" w:eastAsia="Calibri" w:hAnsi="Calibri"/>
          <w:sz w:val="24"/>
          <w:szCs w:val="24"/>
        </w:rPr>
        <w:t xml:space="preserve">Strengthening partnerships with the construction industry and government institutions.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Development</w:t>
      </w:r>
    </w:p>
    <w:p>
      <w:pPr>
        <w:pStyle w:val="ListParagraph"/>
        <w:numPr>
          <w:ilvl w:val="0"/>
          <w:numId w:val="2"/>
        </w:numPr>
        <w:spacing w:after="40"/>
      </w:pPr>
      <w:r>
        <w:rPr>
          <w:rFonts w:ascii="Calibri" w:cs="Calibri" w:eastAsia="Calibri" w:hAnsi="Calibri"/>
          <w:sz w:val="24"/>
          <w:szCs w:val="24"/>
        </w:rPr>
        <w:t xml:space="preserve">Modernize civil engineering programmes in structural, geotechnical, transportation, and water resources engineering.</w:t>
      </w:r>
    </w:p>
    <w:p>
      <w:pPr>
        <w:pStyle w:val="ListParagraph"/>
        <w:numPr>
          <w:ilvl w:val="0"/>
          <w:numId w:val="2"/>
        </w:numPr>
        <w:spacing w:after="40"/>
      </w:pPr>
      <w:r>
        <w:rPr>
          <w:rFonts w:ascii="Calibri" w:cs="Calibri" w:eastAsia="Calibri" w:hAnsi="Calibri"/>
          <w:sz w:val="24"/>
          <w:szCs w:val="24"/>
        </w:rPr>
        <w:t xml:space="preserve">Incorporate sustainability practices, resilient design, and international codes and standards into curricula.</w:t>
      </w:r>
    </w:p>
    <w:p>
      <w:pPr>
        <w:pStyle w:val="ListParagraph"/>
        <w:numPr>
          <w:ilvl w:val="0"/>
          <w:numId w:val="2"/>
        </w:numPr>
        <w:spacing w:after="40"/>
      </w:pPr>
      <w:r>
        <w:rPr>
          <w:rFonts w:ascii="Calibri" w:cs="Calibri" w:eastAsia="Calibri" w:hAnsi="Calibri"/>
          <w:sz w:val="24"/>
          <w:szCs w:val="24"/>
        </w:rPr>
        <w:t xml:space="preserve">Regularly review and update course content to align with international engineering standards and MoHESR guidelines.</w:t>
      </w:r>
    </w:p>
    <w:p>
      <w:pPr>
        <w:spacing w:after="40" w:before="120"/>
      </w:pPr>
      <w:r>
        <w:rPr>
          <w:rFonts w:ascii="Calibri" w:cs="Calibri" w:eastAsia="Calibri" w:hAnsi="Calibri"/>
          <w:b/>
          <w:bCs/>
          <w:color w:val="9A3318"/>
          <w:sz w:val="24"/>
          <w:szCs w:val="24"/>
        </w:rPr>
        <w:t xml:space="preserve">✅ 2. Research and Innovation</w:t>
      </w:r>
    </w:p>
    <w:p>
      <w:pPr>
        <w:pStyle w:val="ListParagraph"/>
        <w:numPr>
          <w:ilvl w:val="0"/>
          <w:numId w:val="2"/>
        </w:numPr>
        <w:spacing w:after="40"/>
      </w:pPr>
      <w:r>
        <w:rPr>
          <w:rFonts w:ascii="Calibri" w:cs="Calibri" w:eastAsia="Calibri" w:hAnsi="Calibri"/>
          <w:sz w:val="24"/>
          <w:szCs w:val="24"/>
        </w:rPr>
        <w:t xml:space="preserve">Promote applied research in sustainable construction materials, infrastructure resilience, and water and environmental engineering.</w:t>
      </w:r>
    </w:p>
    <w:p>
      <w:pPr>
        <w:pStyle w:val="ListParagraph"/>
        <w:numPr>
          <w:ilvl w:val="0"/>
          <w:numId w:val="2"/>
        </w:numPr>
        <w:spacing w:after="40"/>
      </w:pPr>
      <w:r>
        <w:rPr>
          <w:rFonts w:ascii="Calibri" w:cs="Calibri" w:eastAsia="Calibri" w:hAnsi="Calibri"/>
          <w:sz w:val="24"/>
          <w:szCs w:val="24"/>
        </w:rPr>
        <w:t xml:space="preserve">Support faculty and student-led research initiatives addressing Iraq's reconstruction and infrastructure challenges.</w:t>
      </w:r>
    </w:p>
    <w:p>
      <w:pPr>
        <w:pStyle w:val="ListParagraph"/>
        <w:numPr>
          <w:ilvl w:val="0"/>
          <w:numId w:val="2"/>
        </w:numPr>
        <w:spacing w:after="40"/>
      </w:pPr>
      <w:r>
        <w:rPr>
          <w:rFonts w:ascii="Calibri" w:cs="Calibri" w:eastAsia="Calibri" w:hAnsi="Calibri"/>
          <w:sz w:val="24"/>
          <w:szCs w:val="24"/>
        </w:rPr>
        <w:t xml:space="preserve">Encourage publication in reputable civil engineering journals.</w:t>
      </w:r>
    </w:p>
    <w:p>
      <w:pPr>
        <w:spacing w:after="40" w:before="120"/>
      </w:pPr>
      <w:r>
        <w:rPr>
          <w:rFonts w:ascii="Calibri" w:cs="Calibri" w:eastAsia="Calibri" w:hAnsi="Calibri"/>
          <w:b/>
          <w:bCs/>
          <w:color w:val="9A3318"/>
          <w:sz w:val="24"/>
          <w:szCs w:val="24"/>
        </w:rPr>
        <w:t xml:space="preserve">✅ 3. Industry and Community Partnerships</w:t>
      </w:r>
    </w:p>
    <w:p>
      <w:pPr>
        <w:pStyle w:val="ListParagraph"/>
        <w:numPr>
          <w:ilvl w:val="0"/>
          <w:numId w:val="2"/>
        </w:numPr>
        <w:spacing w:after="40"/>
      </w:pPr>
      <w:r>
        <w:rPr>
          <w:rFonts w:ascii="Calibri" w:cs="Calibri" w:eastAsia="Calibri" w:hAnsi="Calibri"/>
          <w:sz w:val="24"/>
          <w:szCs w:val="24"/>
        </w:rPr>
        <w:t xml:space="preserve">Strengthen collaboration with construction firms, consulting offices, and government infrastructure projects.</w:t>
      </w:r>
    </w:p>
    <w:p>
      <w:pPr>
        <w:pStyle w:val="ListParagraph"/>
        <w:numPr>
          <w:ilvl w:val="0"/>
          <w:numId w:val="2"/>
        </w:numPr>
        <w:spacing w:after="40"/>
      </w:pPr>
      <w:r>
        <w:rPr>
          <w:rFonts w:ascii="Calibri" w:cs="Calibri" w:eastAsia="Calibri" w:hAnsi="Calibri"/>
          <w:sz w:val="24"/>
          <w:szCs w:val="24"/>
        </w:rPr>
        <w:t xml:space="preserve">Develop industry-relevant internships, site training, and cooperative education programmes.</w:t>
      </w:r>
    </w:p>
    <w:p>
      <w:pPr>
        <w:pStyle w:val="ListParagraph"/>
        <w:numPr>
          <w:ilvl w:val="0"/>
          <w:numId w:val="2"/>
        </w:numPr>
        <w:spacing w:after="40"/>
      </w:pPr>
      <w:r>
        <w:rPr>
          <w:rFonts w:ascii="Calibri" w:cs="Calibri" w:eastAsia="Calibri" w:hAnsi="Calibri"/>
          <w:sz w:val="24"/>
          <w:szCs w:val="24"/>
        </w:rPr>
        <w:t xml:space="preserve">Enhance community outreach through engineering consultancy and materials-testing services.</w:t>
      </w:r>
    </w:p>
    <w:p>
      <w:pPr>
        <w:spacing w:after="40" w:before="120"/>
      </w:pPr>
      <w:r>
        <w:rPr>
          <w:rFonts w:ascii="Calibri" w:cs="Calibri" w:eastAsia="Calibri" w:hAnsi="Calibri"/>
          <w:b/>
          <w:bCs/>
          <w:color w:val="9A3318"/>
          <w:sz w:val="24"/>
          <w:szCs w:val="24"/>
        </w:rPr>
        <w:t xml:space="preserve">✅ 4. Student Success and Employability</w:t>
      </w:r>
    </w:p>
    <w:p>
      <w:pPr>
        <w:pStyle w:val="ListParagraph"/>
        <w:numPr>
          <w:ilvl w:val="0"/>
          <w:numId w:val="2"/>
        </w:numPr>
        <w:spacing w:after="40"/>
      </w:pPr>
      <w:r>
        <w:rPr>
          <w:rFonts w:ascii="Calibri" w:cs="Calibri" w:eastAsia="Calibri" w:hAnsi="Calibri"/>
          <w:sz w:val="24"/>
          <w:szCs w:val="24"/>
        </w:rPr>
        <w:t xml:space="preserve">Expand career services, offering mentoring, coaching, and job placement support.</w:t>
      </w:r>
    </w:p>
    <w:p>
      <w:pPr>
        <w:pStyle w:val="ListParagraph"/>
        <w:numPr>
          <w:ilvl w:val="0"/>
          <w:numId w:val="2"/>
        </w:numPr>
        <w:spacing w:after="40"/>
      </w:pPr>
      <w:r>
        <w:rPr>
          <w:rFonts w:ascii="Calibri" w:cs="Calibri" w:eastAsia="Calibri" w:hAnsi="Calibri"/>
          <w:sz w:val="24"/>
          <w:szCs w:val="24"/>
        </w:rPr>
        <w:t xml:space="preserve">Develop workshops and certification programmes in engineering software and professional practice.</w:t>
      </w:r>
    </w:p>
    <w:p>
      <w:pPr>
        <w:pStyle w:val="ListParagraph"/>
        <w:numPr>
          <w:ilvl w:val="0"/>
          <w:numId w:val="2"/>
        </w:numPr>
        <w:spacing w:after="40"/>
      </w:pPr>
      <w:r>
        <w:rPr>
          <w:rFonts w:ascii="Calibri" w:cs="Calibri" w:eastAsia="Calibri" w:hAnsi="Calibri"/>
          <w:sz w:val="24"/>
          <w:szCs w:val="24"/>
        </w:rPr>
        <w:t xml:space="preserve">Foster alumni networks to support career growth and mentorship.</w:t>
      </w:r>
    </w:p>
    <w:p>
      <w:pPr>
        <w:spacing w:after="40" w:before="120"/>
      </w:pPr>
      <w:r>
        <w:rPr>
          <w:rFonts w:ascii="Calibri" w:cs="Calibri" w:eastAsia="Calibri" w:hAnsi="Calibri"/>
          <w:b/>
          <w:bCs/>
          <w:color w:val="9A3318"/>
          <w:sz w:val="24"/>
          <w:szCs w:val="24"/>
        </w:rPr>
        <w:t xml:space="preserve">✅ 5. Digital Transformation</w:t>
      </w:r>
    </w:p>
    <w:p>
      <w:pPr>
        <w:pStyle w:val="ListParagraph"/>
        <w:numPr>
          <w:ilvl w:val="0"/>
          <w:numId w:val="2"/>
        </w:numPr>
        <w:spacing w:after="40"/>
      </w:pPr>
      <w:r>
        <w:rPr>
          <w:rFonts w:ascii="Calibri" w:cs="Calibri" w:eastAsia="Calibri" w:hAnsi="Calibri"/>
          <w:sz w:val="24"/>
          <w:szCs w:val="24"/>
        </w:rPr>
        <w:t xml:space="preserve">Integrate CAD, BIM, and structural analysis and simulation tools into engineering learning processes.</w:t>
      </w:r>
    </w:p>
    <w:p>
      <w:pPr>
        <w:pStyle w:val="ListParagraph"/>
        <w:numPr>
          <w:ilvl w:val="0"/>
          <w:numId w:val="2"/>
        </w:numPr>
        <w:spacing w:after="40"/>
      </w:pPr>
      <w:r>
        <w:rPr>
          <w:rFonts w:ascii="Calibri" w:cs="Calibri" w:eastAsia="Calibri" w:hAnsi="Calibri"/>
          <w:sz w:val="24"/>
          <w:szCs w:val="24"/>
        </w:rPr>
        <w:t xml:space="preserve">Utilize data analytics and digital surveying technologies to enhance student performance.</w:t>
      </w:r>
    </w:p>
    <w:p>
      <w:pPr>
        <w:pStyle w:val="ListParagraph"/>
        <w:numPr>
          <w:ilvl w:val="0"/>
          <w:numId w:val="2"/>
        </w:numPr>
        <w:spacing w:after="40"/>
      </w:pPr>
      <w:r>
        <w:rPr>
          <w:rFonts w:ascii="Calibri" w:cs="Calibri" w:eastAsia="Calibri" w:hAnsi="Calibri"/>
          <w:sz w:val="24"/>
          <w:szCs w:val="24"/>
        </w:rPr>
        <w:t xml:space="preserve">Offer blended and online learning options to increase accessibility.</w:t>
      </w:r>
    </w:p>
    <w:p>
      <w:pPr>
        <w:spacing w:after="40" w:before="120"/>
      </w:pPr>
      <w:r>
        <w:rPr>
          <w:rFonts w:ascii="Calibri" w:cs="Calibri" w:eastAsia="Calibri" w:hAnsi="Calibri"/>
          <w:b/>
          <w:bCs/>
          <w:color w:val="9A3318"/>
          <w:sz w:val="24"/>
          <w:szCs w:val="24"/>
        </w:rPr>
        <w:t xml:space="preserve">✅ 6.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sustainable materials, green construction, and low-carbon design into the curriculum.</w:t>
      </w:r>
    </w:p>
    <w:p>
      <w:pPr>
        <w:pStyle w:val="ListParagraph"/>
        <w:numPr>
          <w:ilvl w:val="0"/>
          <w:numId w:val="2"/>
        </w:numPr>
        <w:spacing w:after="40"/>
      </w:pPr>
      <w:r>
        <w:rPr>
          <w:rFonts w:ascii="Calibri" w:cs="Calibri" w:eastAsia="Calibri" w:hAnsi="Calibri"/>
          <w:sz w:val="24"/>
          <w:szCs w:val="24"/>
        </w:rPr>
        <w:t xml:space="preserve">Embed AI and data-driven analysis tools in engineering courses and projects.</w:t>
      </w:r>
    </w:p>
    <w:p>
      <w:pPr>
        <w:pStyle w:val="ListParagraph"/>
        <w:numPr>
          <w:ilvl w:val="0"/>
          <w:numId w:val="2"/>
        </w:numPr>
        <w:spacing w:after="40"/>
      </w:pPr>
      <w:r>
        <w:rPr>
          <w:rFonts w:ascii="Calibri" w:cs="Calibri" w:eastAsia="Calibri" w:hAnsi="Calibri"/>
          <w:sz w:val="24"/>
          <w:szCs w:val="24"/>
        </w:rPr>
        <w:t xml:space="preserve">Direct graduation projects toward resilient, sustainable infrastructure for Mosul and Iraq.</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Civil Engineering programme specify the engineering knowledge, design capability, and professional conduct expected of every graduate. Developed in line with the Bologna Process and the Iraq National Qualifications Framework, they respond directly to the reconstruction of Mosul and to Iraq's national need for safe, resilient, and sustainable infrastructure.</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mathematics, science, and engineering principles to analyze civil engineering systems, including structures, transportation, and water resources.</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Design safe, economical, and sustainable infrastructure in accordance with Iraqi and international codes and standards.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Manage construction projects — planning, cost, quality, and safety — in support of the reconstruction of Mosul and Iraq's infrastructure development.</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Use modern engineering software (CAD, BIM, structural analysis) and conduct site investigations and materials testing.</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teamwork, effective communication, and a commitment to lifelong learning in engineering practice.</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Apply artificial intelligence and data-driven methods in structural analysis, transportation, and construction management.</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Design sustainable infrastructure using green materials, water-sensitive design, and low-carbon construction.</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infrastructure and environmental data to support resilient, efficient engineering decisions.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Develop innovative engineering solutions for climate adaptation and sustainable reconstruction in Iraq.</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green construction culture and contribute to the SDGs through engineering practice.</w:t>
      </w:r>
    </w:p>
    <w:p>
      <w:pPr>
        <w:pStyle w:val="Heading1"/>
        <w:pageBreakBefore/>
      </w:pPr>
      <w:r>
        <w:rPr>
          <w:rFonts w:ascii="Calibri" w:cs="Calibri" w:eastAsia="Calibri" w:hAnsi="Calibri"/>
        </w:rPr>
        <w:t xml:space="preserve">7. College of Law (CLAW)</w:t>
      </w:r>
    </w:p>
    <w:p>
      <w:pPr>
        <w:pStyle w:val="Heading2"/>
        <w:spacing w:before="240"/>
      </w:pPr>
      <w:r>
        <w:rPr>
          <w:rFonts w:ascii="Calibri" w:cs="Calibri" w:eastAsia="Calibri" w:hAnsi="Calibri"/>
        </w:rPr>
        <w:t xml:space="preserve">Law Programme (CLAW)</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Law programme as offered by Al-Hadba University under the supervision of the Ministry of Higher Education and Scientific Research (MoHESR). The programme leads to the award of Bachelor of Laws (LL.B.) after 4 academic years of full-time study, and is delivered through the Iraqi academic teaching system and its course-unit framework, in accordance with MoHESR regulations.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Law</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Law</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CLAW</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AHU12100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Laws (LL.B.)</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Iraqi academic teaching system (MoHESR)</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Iraqi course-unit system in accordance with MoHESR regulations</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Arabic</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institution in legal education and research, recognized for producing highly skilled, ethical, and innovative legal professionals committed to promoting justice, human rights, and the rule of law locally and globally.</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College of Law at AHU is dedicated to:</w:t>
      </w:r>
    </w:p>
    <w:p>
      <w:pPr>
        <w:pStyle w:val="ListParagraph"/>
        <w:numPr>
          <w:ilvl w:val="0"/>
          <w:numId w:val="2"/>
        </w:numPr>
        <w:spacing w:after="40"/>
      </w:pPr>
      <w:r>
        <w:rPr>
          <w:rFonts w:ascii="Calibri" w:cs="Calibri" w:eastAsia="Calibri" w:hAnsi="Calibri"/>
          <w:sz w:val="24"/>
          <w:szCs w:val="24"/>
        </w:rPr>
        <w:t xml:space="preserve">Delivering high-quality legal education that integrates theory with practical application.</w:t>
      </w:r>
    </w:p>
    <w:p>
      <w:pPr>
        <w:pStyle w:val="ListParagraph"/>
        <w:numPr>
          <w:ilvl w:val="0"/>
          <w:numId w:val="2"/>
        </w:numPr>
        <w:spacing w:after="40"/>
      </w:pPr>
      <w:r>
        <w:rPr>
          <w:rFonts w:ascii="Calibri" w:cs="Calibri" w:eastAsia="Calibri" w:hAnsi="Calibri"/>
          <w:sz w:val="24"/>
          <w:szCs w:val="24"/>
        </w:rPr>
        <w:t xml:space="preserve">Promoting justice and human rights through rigorous academic training and community service.</w:t>
      </w:r>
    </w:p>
    <w:p>
      <w:pPr>
        <w:pStyle w:val="ListParagraph"/>
        <w:numPr>
          <w:ilvl w:val="0"/>
          <w:numId w:val="2"/>
        </w:numPr>
        <w:spacing w:after="40"/>
      </w:pPr>
      <w:r>
        <w:rPr>
          <w:rFonts w:ascii="Calibri" w:cs="Calibri" w:eastAsia="Calibri" w:hAnsi="Calibri"/>
          <w:sz w:val="24"/>
          <w:szCs w:val="24"/>
        </w:rPr>
        <w:t xml:space="preserve">Equipping students with critical thinking, advocacy, and problem-solving skills essential for legal practice.</w:t>
      </w:r>
    </w:p>
    <w:p>
      <w:pPr>
        <w:pStyle w:val="ListParagraph"/>
        <w:numPr>
          <w:ilvl w:val="0"/>
          <w:numId w:val="2"/>
        </w:numPr>
        <w:spacing w:after="40"/>
      </w:pPr>
      <w:r>
        <w:rPr>
          <w:rFonts w:ascii="Calibri" w:cs="Calibri" w:eastAsia="Calibri" w:hAnsi="Calibri"/>
          <w:sz w:val="24"/>
          <w:szCs w:val="24"/>
        </w:rPr>
        <w:t xml:space="preserve">Advancing legal research to contribute to policy reforms and address contemporary legal challenges.</w:t>
      </w:r>
    </w:p>
    <w:p>
      <w:pPr>
        <w:pStyle w:val="ListParagraph"/>
        <w:numPr>
          <w:ilvl w:val="0"/>
          <w:numId w:val="2"/>
        </w:numPr>
        <w:spacing w:after="40"/>
      </w:pPr>
      <w:r>
        <w:rPr>
          <w:rFonts w:ascii="Calibri" w:cs="Calibri" w:eastAsia="Calibri" w:hAnsi="Calibri"/>
          <w:sz w:val="24"/>
          <w:szCs w:val="24"/>
        </w:rPr>
        <w:t xml:space="preserve">Strengthening community partnerships to enhance legal literacy and access to justice.</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Development</w:t>
      </w:r>
    </w:p>
    <w:p>
      <w:pPr>
        <w:pStyle w:val="ListParagraph"/>
        <w:numPr>
          <w:ilvl w:val="0"/>
          <w:numId w:val="2"/>
        </w:numPr>
        <w:spacing w:after="40"/>
      </w:pPr>
      <w:r>
        <w:rPr>
          <w:rFonts w:ascii="Calibri" w:cs="Calibri" w:eastAsia="Calibri" w:hAnsi="Calibri"/>
          <w:sz w:val="24"/>
          <w:szCs w:val="24"/>
        </w:rPr>
        <w:t xml:space="preserve">Offer modern, industry-relevant curricula that reflect legal trends and reforms.</w:t>
      </w:r>
    </w:p>
    <w:p>
      <w:pPr>
        <w:pStyle w:val="ListParagraph"/>
        <w:numPr>
          <w:ilvl w:val="0"/>
          <w:numId w:val="2"/>
        </w:numPr>
        <w:spacing w:after="40"/>
      </w:pPr>
      <w:r>
        <w:rPr>
          <w:rFonts w:ascii="Calibri" w:cs="Calibri" w:eastAsia="Calibri" w:hAnsi="Calibri"/>
          <w:sz w:val="24"/>
          <w:szCs w:val="24"/>
        </w:rPr>
        <w:t xml:space="preserve">Integrate international legal standards into academic programmes.</w:t>
      </w:r>
    </w:p>
    <w:p>
      <w:pPr>
        <w:pStyle w:val="ListParagraph"/>
        <w:numPr>
          <w:ilvl w:val="0"/>
          <w:numId w:val="2"/>
        </w:numPr>
        <w:spacing w:after="40"/>
      </w:pPr>
      <w:r>
        <w:rPr>
          <w:rFonts w:ascii="Calibri" w:cs="Calibri" w:eastAsia="Calibri" w:hAnsi="Calibri"/>
          <w:sz w:val="24"/>
          <w:szCs w:val="24"/>
        </w:rPr>
        <w:t xml:space="preserve">Develop legal reasoning, advocacy, and analytical skills through experiential learning.</w:t>
      </w:r>
    </w:p>
    <w:p>
      <w:pPr>
        <w:spacing w:after="40" w:before="120"/>
      </w:pPr>
      <w:r>
        <w:rPr>
          <w:rFonts w:ascii="Calibri" w:cs="Calibri" w:eastAsia="Calibri" w:hAnsi="Calibri"/>
          <w:b/>
          <w:bCs/>
          <w:color w:val="9A3318"/>
          <w:sz w:val="24"/>
          <w:szCs w:val="24"/>
        </w:rPr>
        <w:t xml:space="preserve">✅ 2. Practical Legal Training and Skill Development</w:t>
      </w:r>
    </w:p>
    <w:p>
      <w:pPr>
        <w:pStyle w:val="ListParagraph"/>
        <w:numPr>
          <w:ilvl w:val="0"/>
          <w:numId w:val="2"/>
        </w:numPr>
        <w:spacing w:after="40"/>
      </w:pPr>
      <w:r>
        <w:rPr>
          <w:rFonts w:ascii="Calibri" w:cs="Calibri" w:eastAsia="Calibri" w:hAnsi="Calibri"/>
          <w:sz w:val="24"/>
          <w:szCs w:val="24"/>
        </w:rPr>
        <w:t xml:space="preserve">Provide hands-on experience through moot court competitions and legal clinics.</w:t>
      </w:r>
    </w:p>
    <w:p>
      <w:pPr>
        <w:pStyle w:val="ListParagraph"/>
        <w:numPr>
          <w:ilvl w:val="0"/>
          <w:numId w:val="2"/>
        </w:numPr>
        <w:spacing w:after="40"/>
      </w:pPr>
      <w:r>
        <w:rPr>
          <w:rFonts w:ascii="Calibri" w:cs="Calibri" w:eastAsia="Calibri" w:hAnsi="Calibri"/>
          <w:sz w:val="24"/>
          <w:szCs w:val="24"/>
        </w:rPr>
        <w:t xml:space="preserve">Enhance students' courtroom and litigation skills with mock trials and legal debates.</w:t>
      </w:r>
    </w:p>
    <w:p>
      <w:pPr>
        <w:pStyle w:val="ListParagraph"/>
        <w:numPr>
          <w:ilvl w:val="0"/>
          <w:numId w:val="2"/>
        </w:numPr>
        <w:spacing w:after="40"/>
      </w:pPr>
      <w:r>
        <w:rPr>
          <w:rFonts w:ascii="Calibri" w:cs="Calibri" w:eastAsia="Calibri" w:hAnsi="Calibri"/>
          <w:sz w:val="24"/>
          <w:szCs w:val="24"/>
        </w:rPr>
        <w:t xml:space="preserve">Offer internships with law firms, NGOs, and government institutions.</w:t>
      </w:r>
    </w:p>
    <w:p>
      <w:pPr>
        <w:spacing w:after="40" w:before="120"/>
      </w:pPr>
      <w:r>
        <w:rPr>
          <w:rFonts w:ascii="Calibri" w:cs="Calibri" w:eastAsia="Calibri" w:hAnsi="Calibri"/>
          <w:b/>
          <w:bCs/>
          <w:color w:val="9A3318"/>
          <w:sz w:val="24"/>
          <w:szCs w:val="24"/>
        </w:rPr>
        <w:t xml:space="preserve">✅ 3. Research and Legal Scholarship</w:t>
      </w:r>
    </w:p>
    <w:p>
      <w:pPr>
        <w:pStyle w:val="ListParagraph"/>
        <w:numPr>
          <w:ilvl w:val="0"/>
          <w:numId w:val="2"/>
        </w:numPr>
        <w:spacing w:after="40"/>
      </w:pPr>
      <w:r>
        <w:rPr>
          <w:rFonts w:ascii="Calibri" w:cs="Calibri" w:eastAsia="Calibri" w:hAnsi="Calibri"/>
          <w:sz w:val="24"/>
          <w:szCs w:val="24"/>
        </w:rPr>
        <w:t xml:space="preserve">Promote faculty and student-led research in areas such as human rights, legislative reforms, and public policy.</w:t>
      </w:r>
    </w:p>
    <w:p>
      <w:pPr>
        <w:pStyle w:val="ListParagraph"/>
        <w:numPr>
          <w:ilvl w:val="0"/>
          <w:numId w:val="2"/>
        </w:numPr>
        <w:spacing w:after="40"/>
      </w:pPr>
      <w:r>
        <w:rPr>
          <w:rFonts w:ascii="Calibri" w:cs="Calibri" w:eastAsia="Calibri" w:hAnsi="Calibri"/>
          <w:sz w:val="24"/>
          <w:szCs w:val="24"/>
        </w:rPr>
        <w:t xml:space="preserve">Support publication of research findings in legal journals.</w:t>
      </w:r>
    </w:p>
    <w:p>
      <w:pPr>
        <w:pStyle w:val="ListParagraph"/>
        <w:numPr>
          <w:ilvl w:val="0"/>
          <w:numId w:val="2"/>
        </w:numPr>
        <w:spacing w:after="40"/>
      </w:pPr>
      <w:r>
        <w:rPr>
          <w:rFonts w:ascii="Calibri" w:cs="Calibri" w:eastAsia="Calibri" w:hAnsi="Calibri"/>
          <w:sz w:val="24"/>
          <w:szCs w:val="24"/>
        </w:rPr>
        <w:t xml:space="preserve">Establish research partnerships with national and international legal institutions.</w:t>
      </w:r>
    </w:p>
    <w:p>
      <w:pPr>
        <w:spacing w:after="40" w:before="120"/>
      </w:pPr>
      <w:r>
        <w:rPr>
          <w:rFonts w:ascii="Calibri" w:cs="Calibri" w:eastAsia="Calibri" w:hAnsi="Calibri"/>
          <w:b/>
          <w:bCs/>
          <w:color w:val="9A3318"/>
          <w:sz w:val="24"/>
          <w:szCs w:val="24"/>
        </w:rPr>
        <w:t xml:space="preserve">✅ 4. Community Engagement and Legal Services</w:t>
      </w:r>
    </w:p>
    <w:p>
      <w:pPr>
        <w:pStyle w:val="ListParagraph"/>
        <w:numPr>
          <w:ilvl w:val="0"/>
          <w:numId w:val="2"/>
        </w:numPr>
        <w:spacing w:after="40"/>
      </w:pPr>
      <w:r>
        <w:rPr>
          <w:rFonts w:ascii="Calibri" w:cs="Calibri" w:eastAsia="Calibri" w:hAnsi="Calibri"/>
          <w:sz w:val="24"/>
          <w:szCs w:val="24"/>
        </w:rPr>
        <w:t xml:space="preserve">Offer free legal consultations to underserved communities.</w:t>
      </w:r>
    </w:p>
    <w:p>
      <w:pPr>
        <w:pStyle w:val="ListParagraph"/>
        <w:numPr>
          <w:ilvl w:val="0"/>
          <w:numId w:val="2"/>
        </w:numPr>
        <w:spacing w:after="40"/>
      </w:pPr>
      <w:r>
        <w:rPr>
          <w:rFonts w:ascii="Calibri" w:cs="Calibri" w:eastAsia="Calibri" w:hAnsi="Calibri"/>
          <w:sz w:val="24"/>
          <w:szCs w:val="24"/>
        </w:rPr>
        <w:t xml:space="preserve">Organize public legal awareness campaigns on key issues such as human rights and access to justice.</w:t>
      </w:r>
    </w:p>
    <w:p>
      <w:pPr>
        <w:pStyle w:val="ListParagraph"/>
        <w:numPr>
          <w:ilvl w:val="0"/>
          <w:numId w:val="2"/>
        </w:numPr>
        <w:spacing w:after="40"/>
      </w:pPr>
      <w:r>
        <w:rPr>
          <w:rFonts w:ascii="Calibri" w:cs="Calibri" w:eastAsia="Calibri" w:hAnsi="Calibri"/>
          <w:sz w:val="24"/>
          <w:szCs w:val="24"/>
        </w:rPr>
        <w:t xml:space="preserve">Foster collaborations with local and international legal organizations.</w:t>
      </w:r>
    </w:p>
    <w:p>
      <w:pPr>
        <w:spacing w:after="40" w:before="120"/>
      </w:pPr>
      <w:r>
        <w:rPr>
          <w:rFonts w:ascii="Calibri" w:cs="Calibri" w:eastAsia="Calibri" w:hAnsi="Calibri"/>
          <w:b/>
          <w:bCs/>
          <w:color w:val="9A3318"/>
          <w:sz w:val="24"/>
          <w:szCs w:val="24"/>
        </w:rPr>
        <w:t xml:space="preserve">✅ 5. Student Success and Career Readiness</w:t>
      </w:r>
    </w:p>
    <w:p>
      <w:pPr>
        <w:pStyle w:val="ListParagraph"/>
        <w:numPr>
          <w:ilvl w:val="0"/>
          <w:numId w:val="2"/>
        </w:numPr>
        <w:spacing w:after="40"/>
      </w:pPr>
      <w:r>
        <w:rPr>
          <w:rFonts w:ascii="Calibri" w:cs="Calibri" w:eastAsia="Calibri" w:hAnsi="Calibri"/>
          <w:sz w:val="24"/>
          <w:szCs w:val="24"/>
        </w:rPr>
        <w:t xml:space="preserve">Expand career services with legal internships, mentorship programmes, and job placements.</w:t>
      </w:r>
    </w:p>
    <w:p>
      <w:pPr>
        <w:pStyle w:val="ListParagraph"/>
        <w:numPr>
          <w:ilvl w:val="0"/>
          <w:numId w:val="2"/>
        </w:numPr>
        <w:spacing w:after="40"/>
      </w:pPr>
      <w:r>
        <w:rPr>
          <w:rFonts w:ascii="Calibri" w:cs="Calibri" w:eastAsia="Calibri" w:hAnsi="Calibri"/>
          <w:sz w:val="24"/>
          <w:szCs w:val="24"/>
        </w:rPr>
        <w:t xml:space="preserve">Offer skills workshops on legal writing, contract drafting, and litigation strategies.</w:t>
      </w:r>
    </w:p>
    <w:p>
      <w:pPr>
        <w:pStyle w:val="ListParagraph"/>
        <w:numPr>
          <w:ilvl w:val="0"/>
          <w:numId w:val="2"/>
        </w:numPr>
        <w:spacing w:after="40"/>
      </w:pPr>
      <w:r>
        <w:rPr>
          <w:rFonts w:ascii="Calibri" w:cs="Calibri" w:eastAsia="Calibri" w:hAnsi="Calibri"/>
          <w:sz w:val="24"/>
          <w:szCs w:val="24"/>
        </w:rPr>
        <w:t xml:space="preserve">Enhance alumni networks to provide career support and professional connections.</w:t>
      </w:r>
    </w:p>
    <w:p>
      <w:pPr>
        <w:spacing w:after="40" w:before="120"/>
      </w:pPr>
      <w:r>
        <w:rPr>
          <w:rFonts w:ascii="Calibri" w:cs="Calibri" w:eastAsia="Calibri" w:hAnsi="Calibri"/>
          <w:b/>
          <w:bCs/>
          <w:color w:val="9A3318"/>
          <w:sz w:val="24"/>
          <w:szCs w:val="24"/>
        </w:rPr>
        <w:t xml:space="preserve">✅ 6. Quality Assurance and Global Accreditation</w:t>
      </w:r>
    </w:p>
    <w:p>
      <w:pPr>
        <w:pStyle w:val="ListParagraph"/>
        <w:numPr>
          <w:ilvl w:val="0"/>
          <w:numId w:val="2"/>
        </w:numPr>
        <w:spacing w:after="40"/>
      </w:pPr>
      <w:r>
        <w:rPr>
          <w:rFonts w:ascii="Calibri" w:cs="Calibri" w:eastAsia="Calibri" w:hAnsi="Calibri"/>
          <w:sz w:val="24"/>
          <w:szCs w:val="24"/>
        </w:rPr>
        <w:t xml:space="preserve">Ensure compliance with MoHESR standards and pursue international accreditation.</w:t>
      </w:r>
    </w:p>
    <w:p>
      <w:pPr>
        <w:pStyle w:val="ListParagraph"/>
        <w:numPr>
          <w:ilvl w:val="0"/>
          <w:numId w:val="2"/>
        </w:numPr>
        <w:spacing w:after="40"/>
      </w:pPr>
      <w:r>
        <w:rPr>
          <w:rFonts w:ascii="Calibri" w:cs="Calibri" w:eastAsia="Calibri" w:hAnsi="Calibri"/>
          <w:sz w:val="24"/>
          <w:szCs w:val="24"/>
        </w:rPr>
        <w:t xml:space="preserve">Adopt quality assurance frameworks for continuous programme improvement.</w:t>
      </w:r>
    </w:p>
    <w:p>
      <w:pPr>
        <w:pStyle w:val="ListParagraph"/>
        <w:numPr>
          <w:ilvl w:val="0"/>
          <w:numId w:val="2"/>
        </w:numPr>
        <w:spacing w:after="40"/>
      </w:pPr>
      <w:r>
        <w:rPr>
          <w:rFonts w:ascii="Calibri" w:cs="Calibri" w:eastAsia="Calibri" w:hAnsi="Calibri"/>
          <w:sz w:val="24"/>
          <w:szCs w:val="24"/>
        </w:rPr>
        <w:t xml:space="preserve">Regularly update the curriculum based on legal industry trends.</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Introduce environmental law, climate governance, and sustainability regulation into the curriculum.</w:t>
      </w:r>
    </w:p>
    <w:p>
      <w:pPr>
        <w:pStyle w:val="ListParagraph"/>
        <w:numPr>
          <w:ilvl w:val="0"/>
          <w:numId w:val="2"/>
        </w:numPr>
        <w:spacing w:after="40"/>
      </w:pPr>
      <w:r>
        <w:rPr>
          <w:rFonts w:ascii="Calibri" w:cs="Calibri" w:eastAsia="Calibri" w:hAnsi="Calibri"/>
          <w:sz w:val="24"/>
          <w:szCs w:val="24"/>
        </w:rPr>
        <w:t xml:space="preserve">Embed responsible AI-assisted legal research tools in teaching and clinics.</w:t>
      </w:r>
    </w:p>
    <w:p>
      <w:pPr>
        <w:pStyle w:val="ListParagraph"/>
        <w:numPr>
          <w:ilvl w:val="0"/>
          <w:numId w:val="2"/>
        </w:numPr>
        <w:spacing w:after="40"/>
      </w:pPr>
      <w:r>
        <w:rPr>
          <w:rFonts w:ascii="Calibri" w:cs="Calibri" w:eastAsia="Calibri" w:hAnsi="Calibri"/>
          <w:sz w:val="24"/>
          <w:szCs w:val="24"/>
        </w:rPr>
        <w:t xml:space="preserve">Promote legal awareness of environmental rights and the SDGs in the community.</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Law programme define the legal knowledge, analytical skills, and professional ethics of its graduates. The programme is delivered through the Iraqi academic teaching system of MoHESR, with outcomes stated in a measurable, outcome-based form consistent with the Iraq National Qualifications Framework, preparing jurists who serve justice, human rights, and the rule of law in Mosul and across Iraq.</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Demonstrate comprehensive knowledge of the Iraqi legal system — constitutional, civil, criminal, administrative, and commercial law — alongside the foundations of international law.</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Analyze legal problems and apply legislation, jurisprudence, and judicial precedent to real and hypothetical cases.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Draft legal documents — contracts, pleadings, and legal memoranda — in precise legal Arabic, with foundational legal English skills.</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Advocate, negotiate, and litigate effectively, using skills developed through moot courts and legal clinics.</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integrity, and a commitment to justice, human rights, and the rule of law in serving the community of Mosul and Iraq.</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tools responsibly in legal research, document analysis, and case preparation.</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environmental law and sustainability-related legislation in national and international contexts.</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legal and regulatory frameworks governing climate, energy, and natural resources in Iraq.</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Contribute to the development of green legislation and sustainable governance in Iraq.</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environmental justice and support the SDGs through legal practice and community service.</w:t>
      </w:r>
    </w:p>
    <w:p>
      <w:pPr>
        <w:pStyle w:val="Heading1"/>
        <w:pageBreakBefore/>
      </w:pPr>
      <w:r>
        <w:rPr>
          <w:rFonts w:ascii="Calibri" w:cs="Calibri" w:eastAsia="Calibri" w:hAnsi="Calibri"/>
        </w:rPr>
        <w:t xml:space="preserve">8. College of Dentistry (CDEN)</w:t>
      </w:r>
    </w:p>
    <w:p>
      <w:pPr>
        <w:pStyle w:val="Heading2"/>
        <w:spacing w:before="240"/>
      </w:pPr>
      <w:r>
        <w:rPr>
          <w:rFonts w:ascii="Calibri" w:cs="Calibri" w:eastAsia="Calibri" w:hAnsi="Calibri"/>
        </w:rPr>
        <w:t xml:space="preserve">Dentistry Programme (CDNT)</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Dentistry programme as offered by Al-Hadba University under the supervision of the Ministry of Higher Education and Scientific Research (MoHESR). The programme leads to the award of Bachelor of Dental Surgery (B.D.S.) after 5 academic years of full-time study, and is delivered through the Iraqi academic teaching system and its course-unit framework, in accordance with MoHESR regulations.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Dentistry</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Dentistry</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CDNT</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AHU16100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Dental Surgery (B.D.S.)</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5 academic years,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Iraqi academic teaching system (MoHESR)</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1 class hour/week = 2 units, and 1 lab hour/week = 1 unit</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institution in dental education, clinical practice, and research, recognized for excellence in Iraq and beyond. We strive to enhance oral healthcare standards by producing highly skilled dental professionals equipped with cutting-edge expertise and ethical values.</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College of Dentistry at AHU is committed to:</w:t>
      </w:r>
    </w:p>
    <w:p>
      <w:pPr>
        <w:pStyle w:val="ListParagraph"/>
        <w:numPr>
          <w:ilvl w:val="0"/>
          <w:numId w:val="2"/>
        </w:numPr>
        <w:spacing w:after="40"/>
      </w:pPr>
      <w:r>
        <w:rPr>
          <w:rFonts w:ascii="Calibri" w:cs="Calibri" w:eastAsia="Calibri" w:hAnsi="Calibri"/>
          <w:sz w:val="24"/>
          <w:szCs w:val="24"/>
        </w:rPr>
        <w:t xml:space="preserve">Preparing competent and compassionate dentists through high-quality academic and clinical programmes.</w:t>
      </w:r>
    </w:p>
    <w:p>
      <w:pPr>
        <w:pStyle w:val="ListParagraph"/>
        <w:numPr>
          <w:ilvl w:val="0"/>
          <w:numId w:val="2"/>
        </w:numPr>
        <w:spacing w:after="40"/>
      </w:pPr>
      <w:r>
        <w:rPr>
          <w:rFonts w:ascii="Calibri" w:cs="Calibri" w:eastAsia="Calibri" w:hAnsi="Calibri"/>
          <w:sz w:val="24"/>
          <w:szCs w:val="24"/>
        </w:rPr>
        <w:t xml:space="preserve">Advancing research in oral health sciences to contribute to the development of evidence-based dentistry.</w:t>
      </w:r>
    </w:p>
    <w:p>
      <w:pPr>
        <w:pStyle w:val="ListParagraph"/>
        <w:numPr>
          <w:ilvl w:val="0"/>
          <w:numId w:val="2"/>
        </w:numPr>
        <w:spacing w:after="40"/>
      </w:pPr>
      <w:r>
        <w:rPr>
          <w:rFonts w:ascii="Calibri" w:cs="Calibri" w:eastAsia="Calibri" w:hAnsi="Calibri"/>
          <w:sz w:val="24"/>
          <w:szCs w:val="24"/>
        </w:rPr>
        <w:t xml:space="preserve">Promoting community engagement by addressing the oral health needs of underserved populations.</w:t>
      </w:r>
    </w:p>
    <w:p>
      <w:pPr>
        <w:pStyle w:val="ListParagraph"/>
        <w:numPr>
          <w:ilvl w:val="0"/>
          <w:numId w:val="2"/>
        </w:numPr>
        <w:spacing w:after="40"/>
      </w:pPr>
      <w:r>
        <w:rPr>
          <w:rFonts w:ascii="Calibri" w:cs="Calibri" w:eastAsia="Calibri" w:hAnsi="Calibri"/>
          <w:sz w:val="24"/>
          <w:szCs w:val="24"/>
        </w:rPr>
        <w:t xml:space="preserve">Fostering lifelong learning, innovation, and ethical professionalism.</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Advancement</w:t>
      </w:r>
    </w:p>
    <w:p>
      <w:pPr>
        <w:pStyle w:val="ListParagraph"/>
        <w:numPr>
          <w:ilvl w:val="0"/>
          <w:numId w:val="2"/>
        </w:numPr>
        <w:spacing w:after="40"/>
      </w:pPr>
      <w:r>
        <w:rPr>
          <w:rFonts w:ascii="Calibri" w:cs="Calibri" w:eastAsia="Calibri" w:hAnsi="Calibri"/>
          <w:sz w:val="24"/>
          <w:szCs w:val="24"/>
        </w:rPr>
        <w:t xml:space="preserve">Offer up-to-date curricula aligned with global dental education standards.</w:t>
      </w:r>
    </w:p>
    <w:p>
      <w:pPr>
        <w:pStyle w:val="ListParagraph"/>
        <w:numPr>
          <w:ilvl w:val="0"/>
          <w:numId w:val="2"/>
        </w:numPr>
        <w:spacing w:after="40"/>
      </w:pPr>
      <w:r>
        <w:rPr>
          <w:rFonts w:ascii="Calibri" w:cs="Calibri" w:eastAsia="Calibri" w:hAnsi="Calibri"/>
          <w:sz w:val="24"/>
          <w:szCs w:val="24"/>
        </w:rPr>
        <w:t xml:space="preserve">Integrate innovative teaching methods and digital technologies into the learning process.</w:t>
      </w:r>
    </w:p>
    <w:p>
      <w:pPr>
        <w:pStyle w:val="ListParagraph"/>
        <w:numPr>
          <w:ilvl w:val="0"/>
          <w:numId w:val="2"/>
        </w:numPr>
        <w:spacing w:after="40"/>
      </w:pPr>
      <w:r>
        <w:rPr>
          <w:rFonts w:ascii="Calibri" w:cs="Calibri" w:eastAsia="Calibri" w:hAnsi="Calibri"/>
          <w:sz w:val="24"/>
          <w:szCs w:val="24"/>
        </w:rPr>
        <w:t xml:space="preserve">Provide practical, hands-on clinical training in real-world dental environments.</w:t>
      </w:r>
    </w:p>
    <w:p>
      <w:pPr>
        <w:spacing w:after="40" w:before="120"/>
      </w:pPr>
      <w:r>
        <w:rPr>
          <w:rFonts w:ascii="Calibri" w:cs="Calibri" w:eastAsia="Calibri" w:hAnsi="Calibri"/>
          <w:b/>
          <w:bCs/>
          <w:color w:val="9A3318"/>
          <w:sz w:val="24"/>
          <w:szCs w:val="24"/>
        </w:rPr>
        <w:t xml:space="preserve">✅ 2. Research and Innovation in Oral Healthcare</w:t>
      </w:r>
    </w:p>
    <w:p>
      <w:pPr>
        <w:pStyle w:val="ListParagraph"/>
        <w:numPr>
          <w:ilvl w:val="0"/>
          <w:numId w:val="2"/>
        </w:numPr>
        <w:spacing w:after="40"/>
      </w:pPr>
      <w:r>
        <w:rPr>
          <w:rFonts w:ascii="Calibri" w:cs="Calibri" w:eastAsia="Calibri" w:hAnsi="Calibri"/>
          <w:sz w:val="24"/>
          <w:szCs w:val="24"/>
        </w:rPr>
        <w:t xml:space="preserve">Promote scientific research in emerging dental technologies and treatments.</w:t>
      </w:r>
    </w:p>
    <w:p>
      <w:pPr>
        <w:pStyle w:val="ListParagraph"/>
        <w:numPr>
          <w:ilvl w:val="0"/>
          <w:numId w:val="2"/>
        </w:numPr>
        <w:spacing w:after="40"/>
      </w:pPr>
      <w:r>
        <w:rPr>
          <w:rFonts w:ascii="Calibri" w:cs="Calibri" w:eastAsia="Calibri" w:hAnsi="Calibri"/>
          <w:sz w:val="24"/>
          <w:szCs w:val="24"/>
        </w:rPr>
        <w:t xml:space="preserve">Support faculty and student-led research projects.</w:t>
      </w:r>
    </w:p>
    <w:p>
      <w:pPr>
        <w:pStyle w:val="ListParagraph"/>
        <w:numPr>
          <w:ilvl w:val="0"/>
          <w:numId w:val="2"/>
        </w:numPr>
        <w:spacing w:after="40"/>
      </w:pPr>
      <w:r>
        <w:rPr>
          <w:rFonts w:ascii="Calibri" w:cs="Calibri" w:eastAsia="Calibri" w:hAnsi="Calibri"/>
          <w:sz w:val="24"/>
          <w:szCs w:val="24"/>
        </w:rPr>
        <w:t xml:space="preserve">Collaborate with national and international research institutions.</w:t>
      </w:r>
    </w:p>
    <w:p>
      <w:pPr>
        <w:spacing w:after="40" w:before="120"/>
      </w:pPr>
      <w:r>
        <w:rPr>
          <w:rFonts w:ascii="Calibri" w:cs="Calibri" w:eastAsia="Calibri" w:hAnsi="Calibri"/>
          <w:b/>
          <w:bCs/>
          <w:color w:val="9A3318"/>
          <w:sz w:val="24"/>
          <w:szCs w:val="24"/>
        </w:rPr>
        <w:t xml:space="preserve">✅ 3. Student Success and Career Readiness</w:t>
      </w:r>
    </w:p>
    <w:p>
      <w:pPr>
        <w:pStyle w:val="ListParagraph"/>
        <w:numPr>
          <w:ilvl w:val="0"/>
          <w:numId w:val="2"/>
        </w:numPr>
        <w:spacing w:after="40"/>
      </w:pPr>
      <w:r>
        <w:rPr>
          <w:rFonts w:ascii="Calibri" w:cs="Calibri" w:eastAsia="Calibri" w:hAnsi="Calibri"/>
          <w:sz w:val="24"/>
          <w:szCs w:val="24"/>
        </w:rPr>
        <w:t xml:space="preserve">Enhance clinical rotations and internships in hospitals and dental clinics.</w:t>
      </w:r>
    </w:p>
    <w:p>
      <w:pPr>
        <w:pStyle w:val="ListParagraph"/>
        <w:numPr>
          <w:ilvl w:val="0"/>
          <w:numId w:val="2"/>
        </w:numPr>
        <w:spacing w:after="40"/>
      </w:pPr>
      <w:r>
        <w:rPr>
          <w:rFonts w:ascii="Calibri" w:cs="Calibri" w:eastAsia="Calibri" w:hAnsi="Calibri"/>
          <w:sz w:val="24"/>
          <w:szCs w:val="24"/>
        </w:rPr>
        <w:t xml:space="preserve">Provide career guidance and mentorship to prepare students for professional practice.</w:t>
      </w:r>
    </w:p>
    <w:p>
      <w:pPr>
        <w:pStyle w:val="ListParagraph"/>
        <w:numPr>
          <w:ilvl w:val="0"/>
          <w:numId w:val="2"/>
        </w:numPr>
        <w:spacing w:after="40"/>
      </w:pPr>
      <w:r>
        <w:rPr>
          <w:rFonts w:ascii="Calibri" w:cs="Calibri" w:eastAsia="Calibri" w:hAnsi="Calibri"/>
          <w:sz w:val="24"/>
          <w:szCs w:val="24"/>
        </w:rPr>
        <w:t xml:space="preserve">Foster industry partnerships to create job placement and internship opportunities.</w:t>
      </w:r>
    </w:p>
    <w:p>
      <w:pPr>
        <w:spacing w:after="40" w:before="120"/>
      </w:pPr>
      <w:r>
        <w:rPr>
          <w:rFonts w:ascii="Calibri" w:cs="Calibri" w:eastAsia="Calibri" w:hAnsi="Calibri"/>
          <w:b/>
          <w:bCs/>
          <w:color w:val="9A3318"/>
          <w:sz w:val="24"/>
          <w:szCs w:val="24"/>
        </w:rPr>
        <w:t xml:space="preserve">✅ 4. Community Engagement and Impact</w:t>
      </w:r>
    </w:p>
    <w:p>
      <w:pPr>
        <w:pStyle w:val="ListParagraph"/>
        <w:numPr>
          <w:ilvl w:val="0"/>
          <w:numId w:val="2"/>
        </w:numPr>
        <w:spacing w:after="40"/>
      </w:pPr>
      <w:r>
        <w:rPr>
          <w:rFonts w:ascii="Calibri" w:cs="Calibri" w:eastAsia="Calibri" w:hAnsi="Calibri"/>
          <w:sz w:val="24"/>
          <w:szCs w:val="24"/>
        </w:rPr>
        <w:t xml:space="preserve">Organize dental health awareness campaigns and outreach programmes.</w:t>
      </w:r>
    </w:p>
    <w:p>
      <w:pPr>
        <w:pStyle w:val="ListParagraph"/>
        <w:numPr>
          <w:ilvl w:val="0"/>
          <w:numId w:val="2"/>
        </w:numPr>
        <w:spacing w:after="40"/>
      </w:pPr>
      <w:r>
        <w:rPr>
          <w:rFonts w:ascii="Calibri" w:cs="Calibri" w:eastAsia="Calibri" w:hAnsi="Calibri"/>
          <w:sz w:val="24"/>
          <w:szCs w:val="24"/>
        </w:rPr>
        <w:t xml:space="preserve">Deliver free dental services to underserved communities.</w:t>
      </w:r>
    </w:p>
    <w:p>
      <w:pPr>
        <w:pStyle w:val="ListParagraph"/>
        <w:numPr>
          <w:ilvl w:val="0"/>
          <w:numId w:val="2"/>
        </w:numPr>
        <w:spacing w:after="40"/>
      </w:pPr>
      <w:r>
        <w:rPr>
          <w:rFonts w:ascii="Calibri" w:cs="Calibri" w:eastAsia="Calibri" w:hAnsi="Calibri"/>
          <w:sz w:val="24"/>
          <w:szCs w:val="24"/>
        </w:rPr>
        <w:t xml:space="preserve">Collaborate with healthcare organizations to improve public oral healthcare.</w:t>
      </w:r>
    </w:p>
    <w:p>
      <w:pPr>
        <w:spacing w:after="40" w:before="120"/>
      </w:pPr>
      <w:r>
        <w:rPr>
          <w:rFonts w:ascii="Calibri" w:cs="Calibri" w:eastAsia="Calibri" w:hAnsi="Calibri"/>
          <w:b/>
          <w:bCs/>
          <w:color w:val="9A3318"/>
          <w:sz w:val="24"/>
          <w:szCs w:val="24"/>
        </w:rPr>
        <w:t xml:space="preserve">✅ 5. Commitment to Quality and Accreditation</w:t>
      </w:r>
    </w:p>
    <w:p>
      <w:pPr>
        <w:pStyle w:val="ListParagraph"/>
        <w:numPr>
          <w:ilvl w:val="0"/>
          <w:numId w:val="2"/>
        </w:numPr>
        <w:spacing w:after="40"/>
      </w:pPr>
      <w:r>
        <w:rPr>
          <w:rFonts w:ascii="Calibri" w:cs="Calibri" w:eastAsia="Calibri" w:hAnsi="Calibri"/>
          <w:sz w:val="24"/>
          <w:szCs w:val="24"/>
        </w:rPr>
        <w:t xml:space="preserve">Maintain compliance with MoHESR standards and pursue international accreditation.</w:t>
      </w:r>
    </w:p>
    <w:p>
      <w:pPr>
        <w:pStyle w:val="ListParagraph"/>
        <w:numPr>
          <w:ilvl w:val="0"/>
          <w:numId w:val="2"/>
        </w:numPr>
        <w:spacing w:after="40"/>
      </w:pPr>
      <w:r>
        <w:rPr>
          <w:rFonts w:ascii="Calibri" w:cs="Calibri" w:eastAsia="Calibri" w:hAnsi="Calibri"/>
          <w:sz w:val="24"/>
          <w:szCs w:val="24"/>
        </w:rPr>
        <w:t xml:space="preserve">Ensure continuous quality improvement in teaching, facilities, and clinical training.</w:t>
      </w:r>
    </w:p>
    <w:p>
      <w:pPr>
        <w:spacing w:after="40" w:before="120"/>
      </w:pPr>
      <w:r>
        <w:rPr>
          <w:rFonts w:ascii="Calibri" w:cs="Calibri" w:eastAsia="Calibri" w:hAnsi="Calibri"/>
          <w:b/>
          <w:bCs/>
          <w:color w:val="9A3318"/>
          <w:sz w:val="24"/>
          <w:szCs w:val="24"/>
        </w:rPr>
        <w:t xml:space="preserve">✅ 6.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green dentistry and sustainable clinic management into the curriculum.</w:t>
      </w:r>
    </w:p>
    <w:p>
      <w:pPr>
        <w:pStyle w:val="ListParagraph"/>
        <w:numPr>
          <w:ilvl w:val="0"/>
          <w:numId w:val="2"/>
        </w:numPr>
        <w:spacing w:after="40"/>
      </w:pPr>
      <w:r>
        <w:rPr>
          <w:rFonts w:ascii="Calibri" w:cs="Calibri" w:eastAsia="Calibri" w:hAnsi="Calibri"/>
          <w:sz w:val="24"/>
          <w:szCs w:val="24"/>
        </w:rPr>
        <w:t xml:space="preserve">Embed AI-assisted diagnostics and digital dentistry technologies in training.</w:t>
      </w:r>
    </w:p>
    <w:p>
      <w:pPr>
        <w:pStyle w:val="ListParagraph"/>
        <w:numPr>
          <w:ilvl w:val="0"/>
          <w:numId w:val="2"/>
        </w:numPr>
        <w:spacing w:after="40"/>
      </w:pPr>
      <w:r>
        <w:rPr>
          <w:rFonts w:ascii="Calibri" w:cs="Calibri" w:eastAsia="Calibri" w:hAnsi="Calibri"/>
          <w:sz w:val="24"/>
          <w:szCs w:val="24"/>
        </w:rPr>
        <w:t xml:space="preserve">Promote sustainable, prevention-focused oral-health programmes in the community.</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Dentistry programme define the clinical knowledge, procedural skills, and professional values expected of every graduate. The programme follows the Iraqi academic teaching system of MoHESR, with outcomes formulated in a measurable, outcome-based manner consistent with the Iraq National Qualifications Framework, addressing the oral-health needs and prevalent dental conditions of the community of Mosul and Iraq.</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biomedical and dental science knowledge to diagnose oral and dental conditions accurately.</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Perform preventive, restorative, and surgical dental procedures safely and competently in accordance with international standards.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Manage patients comprehensively, including radiographic assessment, treatment planning, and infection control.</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Promote oral-health education and prevention programmes addressing the prevalent oral and dental conditions of the Iraqi and Mosul community.</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compassion, teamwork, and a commitment to evidence-based practice and lifelong learning.</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applications in dental diagnostics, imaging, and treatment planning.</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green dentistry practices in materials selection, waste management, and clinic operation.</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clinical and radiographic data to support evidence-based dental decisions.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Contribute to sustainable, accessible oral-healthcare services in the Iraqi community.</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environmentally responsible dental practice and support the SDGs through oral health.</w:t>
      </w:r>
    </w:p>
    <w:p>
      <w:pPr>
        <w:pStyle w:val="Heading1"/>
        <w:pageBreakBefore/>
      </w:pPr>
      <w:r>
        <w:rPr>
          <w:rFonts w:ascii="Calibri" w:cs="Calibri" w:eastAsia="Calibri" w:hAnsi="Calibri"/>
        </w:rPr>
        <w:t xml:space="preserve">9. College of Pharmacy (CPHM)</w:t>
      </w:r>
    </w:p>
    <w:p>
      <w:pPr>
        <w:pStyle w:val="Heading2"/>
        <w:spacing w:before="240"/>
      </w:pPr>
      <w:r>
        <w:rPr>
          <w:rFonts w:ascii="Calibri" w:cs="Calibri" w:eastAsia="Calibri" w:hAnsi="Calibri"/>
        </w:rPr>
        <w:t xml:space="preserve">Pharmacy Programme (CPHM)</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Pharmacy programme as offered by Al-Hadba University under the supervision of the Ministry of Higher Education and Scientific Research (MoHESR). The programme leads to the award of Bachelor of Pharmacy (B.Pharm.) after 5 academic years of full-time study, and is delivered through the Iraqi academic teaching system and its course-unit framework, in accordance with MoHESR regulations.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Pharmacy</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Pharmacy</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CPHM</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AHU17100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Pharmacy (B.Pharm.)</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5 academic years (10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Iraqi academic teaching system (MoHESR)</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Iraqi course-unit system in accordance with MoHESR regulations</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institution in pharmaceutical education, clinical practice, and scientific research, recognized locally and globally for producing competent professionals, advancing pharmaceutical sciences, and improving healthcare outcomes.</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College of Pharmacy at AHU is dedicated to:</w:t>
      </w:r>
    </w:p>
    <w:p>
      <w:pPr>
        <w:pStyle w:val="ListParagraph"/>
        <w:numPr>
          <w:ilvl w:val="0"/>
          <w:numId w:val="2"/>
        </w:numPr>
        <w:spacing w:after="40"/>
      </w:pPr>
      <w:r>
        <w:rPr>
          <w:rFonts w:ascii="Calibri" w:cs="Calibri" w:eastAsia="Calibri" w:hAnsi="Calibri"/>
          <w:sz w:val="24"/>
          <w:szCs w:val="24"/>
        </w:rPr>
        <w:t xml:space="preserve">Delivering academic excellence through contemporary curricula and innovative teaching methods.</w:t>
      </w:r>
    </w:p>
    <w:p>
      <w:pPr>
        <w:pStyle w:val="ListParagraph"/>
        <w:numPr>
          <w:ilvl w:val="0"/>
          <w:numId w:val="2"/>
        </w:numPr>
        <w:spacing w:after="40"/>
      </w:pPr>
      <w:r>
        <w:rPr>
          <w:rFonts w:ascii="Calibri" w:cs="Calibri" w:eastAsia="Calibri" w:hAnsi="Calibri"/>
          <w:sz w:val="24"/>
          <w:szCs w:val="24"/>
        </w:rPr>
        <w:t xml:space="preserve">Empowering students with practical skills and scientific expertise to excel in the pharmaceutical industry and healthcare sector.</w:t>
      </w:r>
    </w:p>
    <w:p>
      <w:pPr>
        <w:pStyle w:val="ListParagraph"/>
        <w:numPr>
          <w:ilvl w:val="0"/>
          <w:numId w:val="2"/>
        </w:numPr>
        <w:spacing w:after="40"/>
      </w:pPr>
      <w:r>
        <w:rPr>
          <w:rFonts w:ascii="Calibri" w:cs="Calibri" w:eastAsia="Calibri" w:hAnsi="Calibri"/>
          <w:sz w:val="24"/>
          <w:szCs w:val="24"/>
        </w:rPr>
        <w:t xml:space="preserve">Promoting pharmaceutical research that addresses healthcare challenges and drives innovation.</w:t>
      </w:r>
    </w:p>
    <w:p>
      <w:pPr>
        <w:pStyle w:val="ListParagraph"/>
        <w:numPr>
          <w:ilvl w:val="0"/>
          <w:numId w:val="2"/>
        </w:numPr>
        <w:spacing w:after="40"/>
      </w:pPr>
      <w:r>
        <w:rPr>
          <w:rFonts w:ascii="Calibri" w:cs="Calibri" w:eastAsia="Calibri" w:hAnsi="Calibri"/>
          <w:sz w:val="24"/>
          <w:szCs w:val="24"/>
        </w:rPr>
        <w:t xml:space="preserve">Strengthening community engagement through public health initiatives and pharmaceutical services.</w:t>
      </w:r>
    </w:p>
    <w:p>
      <w:pPr>
        <w:pStyle w:val="ListParagraph"/>
        <w:numPr>
          <w:ilvl w:val="0"/>
          <w:numId w:val="2"/>
        </w:numPr>
        <w:spacing w:after="40"/>
      </w:pPr>
      <w:r>
        <w:rPr>
          <w:rFonts w:ascii="Calibri" w:cs="Calibri" w:eastAsia="Calibri" w:hAnsi="Calibri"/>
          <w:sz w:val="24"/>
          <w:szCs w:val="24"/>
        </w:rPr>
        <w:t xml:space="preserve">Developing ethical, skilled, and innovative pharmacy professionals committed to lifelong learning and patient care.</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Innovation</w:t>
      </w:r>
    </w:p>
    <w:p>
      <w:pPr>
        <w:pStyle w:val="ListParagraph"/>
        <w:numPr>
          <w:ilvl w:val="0"/>
          <w:numId w:val="2"/>
        </w:numPr>
        <w:spacing w:after="40"/>
      </w:pPr>
      <w:r>
        <w:rPr>
          <w:rFonts w:ascii="Calibri" w:cs="Calibri" w:eastAsia="Calibri" w:hAnsi="Calibri"/>
          <w:sz w:val="24"/>
          <w:szCs w:val="24"/>
        </w:rPr>
        <w:t xml:space="preserve">Offer modern, market-driven curricula that integrate emerging pharmaceutical trends and technologies.</w:t>
      </w:r>
    </w:p>
    <w:p>
      <w:pPr>
        <w:pStyle w:val="ListParagraph"/>
        <w:numPr>
          <w:ilvl w:val="0"/>
          <w:numId w:val="2"/>
        </w:numPr>
        <w:spacing w:after="40"/>
      </w:pPr>
      <w:r>
        <w:rPr>
          <w:rFonts w:ascii="Calibri" w:cs="Calibri" w:eastAsia="Calibri" w:hAnsi="Calibri"/>
          <w:sz w:val="24"/>
          <w:szCs w:val="24"/>
        </w:rPr>
        <w:t xml:space="preserve">Ensure students develop proficiency in clinical skills, patient care, and drug safety.</w:t>
      </w:r>
    </w:p>
    <w:p>
      <w:pPr>
        <w:pStyle w:val="ListParagraph"/>
        <w:numPr>
          <w:ilvl w:val="0"/>
          <w:numId w:val="2"/>
        </w:numPr>
        <w:spacing w:after="40"/>
      </w:pPr>
      <w:r>
        <w:rPr>
          <w:rFonts w:ascii="Calibri" w:cs="Calibri" w:eastAsia="Calibri" w:hAnsi="Calibri"/>
          <w:sz w:val="24"/>
          <w:szCs w:val="24"/>
        </w:rPr>
        <w:t xml:space="preserve">Regularly update programmes to align with international accreditation standards.</w:t>
      </w:r>
    </w:p>
    <w:p>
      <w:pPr>
        <w:spacing w:after="40" w:before="120"/>
      </w:pPr>
      <w:r>
        <w:rPr>
          <w:rFonts w:ascii="Calibri" w:cs="Calibri" w:eastAsia="Calibri" w:hAnsi="Calibri"/>
          <w:b/>
          <w:bCs/>
          <w:color w:val="9A3318"/>
          <w:sz w:val="24"/>
          <w:szCs w:val="24"/>
        </w:rPr>
        <w:t xml:space="preserve">✅ 2. Research and Scientific Innovation</w:t>
      </w:r>
    </w:p>
    <w:p>
      <w:pPr>
        <w:pStyle w:val="ListParagraph"/>
        <w:numPr>
          <w:ilvl w:val="0"/>
          <w:numId w:val="2"/>
        </w:numPr>
        <w:spacing w:after="40"/>
      </w:pPr>
      <w:r>
        <w:rPr>
          <w:rFonts w:ascii="Calibri" w:cs="Calibri" w:eastAsia="Calibri" w:hAnsi="Calibri"/>
          <w:sz w:val="24"/>
          <w:szCs w:val="24"/>
        </w:rPr>
        <w:t xml:space="preserve">Promote cutting-edge pharmaceutical research in drug discovery, clinical pharmacy, and biotechnology.</w:t>
      </w:r>
    </w:p>
    <w:p>
      <w:pPr>
        <w:pStyle w:val="ListParagraph"/>
        <w:numPr>
          <w:ilvl w:val="0"/>
          <w:numId w:val="2"/>
        </w:numPr>
        <w:spacing w:after="40"/>
      </w:pPr>
      <w:r>
        <w:rPr>
          <w:rFonts w:ascii="Calibri" w:cs="Calibri" w:eastAsia="Calibri" w:hAnsi="Calibri"/>
          <w:sz w:val="24"/>
          <w:szCs w:val="24"/>
        </w:rPr>
        <w:t xml:space="preserve">Establish collaborations with industry and healthcare institutions to enhance research impact.</w:t>
      </w:r>
    </w:p>
    <w:p>
      <w:pPr>
        <w:pStyle w:val="ListParagraph"/>
        <w:numPr>
          <w:ilvl w:val="0"/>
          <w:numId w:val="2"/>
        </w:numPr>
        <w:spacing w:after="40"/>
      </w:pPr>
      <w:r>
        <w:rPr>
          <w:rFonts w:ascii="Calibri" w:cs="Calibri" w:eastAsia="Calibri" w:hAnsi="Calibri"/>
          <w:sz w:val="24"/>
          <w:szCs w:val="24"/>
        </w:rPr>
        <w:t xml:space="preserve">Encourage faculty and student-led research projects to contribute to the scientific community.</w:t>
      </w:r>
    </w:p>
    <w:p>
      <w:pPr>
        <w:spacing w:after="40" w:before="120"/>
      </w:pPr>
      <w:r>
        <w:rPr>
          <w:rFonts w:ascii="Calibri" w:cs="Calibri" w:eastAsia="Calibri" w:hAnsi="Calibri"/>
          <w:b/>
          <w:bCs/>
          <w:color w:val="9A3318"/>
          <w:sz w:val="24"/>
          <w:szCs w:val="24"/>
        </w:rPr>
        <w:t xml:space="preserve">✅ 3. Industry Partnerships and Career Readiness</w:t>
      </w:r>
    </w:p>
    <w:p>
      <w:pPr>
        <w:pStyle w:val="ListParagraph"/>
        <w:numPr>
          <w:ilvl w:val="0"/>
          <w:numId w:val="2"/>
        </w:numPr>
        <w:spacing w:after="40"/>
      </w:pPr>
      <w:r>
        <w:rPr>
          <w:rFonts w:ascii="Calibri" w:cs="Calibri" w:eastAsia="Calibri" w:hAnsi="Calibri"/>
          <w:sz w:val="24"/>
          <w:szCs w:val="24"/>
        </w:rPr>
        <w:t xml:space="preserve">Strengthen connections with pharmaceutical companies, hospitals, and regulatory agencies.</w:t>
      </w:r>
    </w:p>
    <w:p>
      <w:pPr>
        <w:pStyle w:val="ListParagraph"/>
        <w:numPr>
          <w:ilvl w:val="0"/>
          <w:numId w:val="2"/>
        </w:numPr>
        <w:spacing w:after="40"/>
      </w:pPr>
      <w:r>
        <w:rPr>
          <w:rFonts w:ascii="Calibri" w:cs="Calibri" w:eastAsia="Calibri" w:hAnsi="Calibri"/>
          <w:sz w:val="24"/>
          <w:szCs w:val="24"/>
        </w:rPr>
        <w:t xml:space="preserve">Provide students with internships, clinical placements, and industry exposure.</w:t>
      </w:r>
    </w:p>
    <w:p>
      <w:pPr>
        <w:pStyle w:val="ListParagraph"/>
        <w:numPr>
          <w:ilvl w:val="0"/>
          <w:numId w:val="2"/>
        </w:numPr>
        <w:spacing w:after="40"/>
      </w:pPr>
      <w:r>
        <w:rPr>
          <w:rFonts w:ascii="Calibri" w:cs="Calibri" w:eastAsia="Calibri" w:hAnsi="Calibri"/>
          <w:sz w:val="24"/>
          <w:szCs w:val="24"/>
        </w:rPr>
        <w:t xml:space="preserve">Offer career counseling and mentorship to enhance employability.</w:t>
      </w:r>
    </w:p>
    <w:p>
      <w:pPr>
        <w:spacing w:after="40" w:before="120"/>
      </w:pPr>
      <w:r>
        <w:rPr>
          <w:rFonts w:ascii="Calibri" w:cs="Calibri" w:eastAsia="Calibri" w:hAnsi="Calibri"/>
          <w:b/>
          <w:bCs/>
          <w:color w:val="9A3318"/>
          <w:sz w:val="24"/>
          <w:szCs w:val="24"/>
        </w:rPr>
        <w:t xml:space="preserve">✅ 4. Community Engagement and Healthcare Impact</w:t>
      </w:r>
    </w:p>
    <w:p>
      <w:pPr>
        <w:pStyle w:val="ListParagraph"/>
        <w:numPr>
          <w:ilvl w:val="0"/>
          <w:numId w:val="2"/>
        </w:numPr>
        <w:spacing w:after="40"/>
      </w:pPr>
      <w:r>
        <w:rPr>
          <w:rFonts w:ascii="Calibri" w:cs="Calibri" w:eastAsia="Calibri" w:hAnsi="Calibri"/>
          <w:sz w:val="24"/>
          <w:szCs w:val="24"/>
        </w:rPr>
        <w:t xml:space="preserve">Organize public health awareness campaigns and offer free medication counseling.</w:t>
      </w:r>
    </w:p>
    <w:p>
      <w:pPr>
        <w:pStyle w:val="ListParagraph"/>
        <w:numPr>
          <w:ilvl w:val="0"/>
          <w:numId w:val="2"/>
        </w:numPr>
        <w:spacing w:after="40"/>
      </w:pPr>
      <w:r>
        <w:rPr>
          <w:rFonts w:ascii="Calibri" w:cs="Calibri" w:eastAsia="Calibri" w:hAnsi="Calibri"/>
          <w:sz w:val="24"/>
          <w:szCs w:val="24"/>
        </w:rPr>
        <w:t xml:space="preserve">Provide pharmaceutical services and consultations to underserved communities.</w:t>
      </w:r>
    </w:p>
    <w:p>
      <w:pPr>
        <w:pStyle w:val="ListParagraph"/>
        <w:numPr>
          <w:ilvl w:val="0"/>
          <w:numId w:val="2"/>
        </w:numPr>
        <w:spacing w:after="40"/>
      </w:pPr>
      <w:r>
        <w:rPr>
          <w:rFonts w:ascii="Calibri" w:cs="Calibri" w:eastAsia="Calibri" w:hAnsi="Calibri"/>
          <w:sz w:val="24"/>
          <w:szCs w:val="24"/>
        </w:rPr>
        <w:t xml:space="preserve">Foster student participation in outreach programmes to improve community health literacy.</w:t>
      </w:r>
    </w:p>
    <w:p>
      <w:pPr>
        <w:spacing w:after="40" w:before="120"/>
      </w:pPr>
      <w:r>
        <w:rPr>
          <w:rFonts w:ascii="Calibri" w:cs="Calibri" w:eastAsia="Calibri" w:hAnsi="Calibri"/>
          <w:b/>
          <w:bCs/>
          <w:color w:val="9A3318"/>
          <w:sz w:val="24"/>
          <w:szCs w:val="24"/>
        </w:rPr>
        <w:t xml:space="preserve">✅ 5. Quality Assurance and Global Accreditation</w:t>
      </w:r>
    </w:p>
    <w:p>
      <w:pPr>
        <w:pStyle w:val="ListParagraph"/>
        <w:numPr>
          <w:ilvl w:val="0"/>
          <w:numId w:val="2"/>
        </w:numPr>
        <w:spacing w:after="40"/>
      </w:pPr>
      <w:r>
        <w:rPr>
          <w:rFonts w:ascii="Calibri" w:cs="Calibri" w:eastAsia="Calibri" w:hAnsi="Calibri"/>
          <w:sz w:val="24"/>
          <w:szCs w:val="24"/>
        </w:rPr>
        <w:t xml:space="preserve">Ensure compliance with MoHESR standards and pursue international accreditation.</w:t>
      </w:r>
    </w:p>
    <w:p>
      <w:pPr>
        <w:pStyle w:val="ListParagraph"/>
        <w:numPr>
          <w:ilvl w:val="0"/>
          <w:numId w:val="2"/>
        </w:numPr>
        <w:spacing w:after="40"/>
      </w:pPr>
      <w:r>
        <w:rPr>
          <w:rFonts w:ascii="Calibri" w:cs="Calibri" w:eastAsia="Calibri" w:hAnsi="Calibri"/>
          <w:sz w:val="24"/>
          <w:szCs w:val="24"/>
        </w:rPr>
        <w:t xml:space="preserve">Continuously improve teaching methodologies, facilities, and academic performance.</w:t>
      </w:r>
    </w:p>
    <w:p>
      <w:pPr>
        <w:pStyle w:val="ListParagraph"/>
        <w:numPr>
          <w:ilvl w:val="0"/>
          <w:numId w:val="2"/>
        </w:numPr>
        <w:spacing w:after="40"/>
      </w:pPr>
      <w:r>
        <w:rPr>
          <w:rFonts w:ascii="Calibri" w:cs="Calibri" w:eastAsia="Calibri" w:hAnsi="Calibri"/>
          <w:sz w:val="24"/>
          <w:szCs w:val="24"/>
        </w:rPr>
        <w:t xml:space="preserve">Adopt quality assurance frameworks to maintain educational excellence.</w:t>
      </w:r>
    </w:p>
    <w:p>
      <w:pPr>
        <w:spacing w:after="40" w:before="120"/>
      </w:pPr>
      <w:r>
        <w:rPr>
          <w:rFonts w:ascii="Calibri" w:cs="Calibri" w:eastAsia="Calibri" w:hAnsi="Calibri"/>
          <w:b/>
          <w:bCs/>
          <w:color w:val="9A3318"/>
          <w:sz w:val="24"/>
          <w:szCs w:val="24"/>
        </w:rPr>
        <w:t xml:space="preserve">✅ 6.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green chemistry, eco-pharmacovigilance, and safe medication disposal into the curriculum.</w:t>
      </w:r>
    </w:p>
    <w:p>
      <w:pPr>
        <w:pStyle w:val="ListParagraph"/>
        <w:numPr>
          <w:ilvl w:val="0"/>
          <w:numId w:val="2"/>
        </w:numPr>
        <w:spacing w:after="40"/>
      </w:pPr>
      <w:r>
        <w:rPr>
          <w:rFonts w:ascii="Calibri" w:cs="Calibri" w:eastAsia="Calibri" w:hAnsi="Calibri"/>
          <w:sz w:val="24"/>
          <w:szCs w:val="24"/>
        </w:rPr>
        <w:t xml:space="preserve">Embed AI applications in pharmaceutical sciences and clinical pharmacy training.</w:t>
      </w:r>
    </w:p>
    <w:p>
      <w:pPr>
        <w:pStyle w:val="ListParagraph"/>
        <w:numPr>
          <w:ilvl w:val="0"/>
          <w:numId w:val="2"/>
        </w:numPr>
        <w:spacing w:after="40"/>
      </w:pPr>
      <w:r>
        <w:rPr>
          <w:rFonts w:ascii="Calibri" w:cs="Calibri" w:eastAsia="Calibri" w:hAnsi="Calibri"/>
          <w:sz w:val="24"/>
          <w:szCs w:val="24"/>
        </w:rPr>
        <w:t xml:space="preserve">Promote sustainable medication-use awareness campaigns in the community.</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Pharmacy programme specify the pharmaceutical knowledge, patient-care skills, and professional standards of its graduates. Delivered through the Iraqi academic teaching system of MoHESR, the programme states its outcomes in a measurable, outcome-based form aligned with the Iraq National Qualifications Framework, promoting the safe and rational use of medicines within the community of Mosul and Iraq.</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pharmaceutical sciences — pharmaceutical chemistry, pharmacology, and pharmaceutics — to the preparation, compounding, and dispensing of medicines.</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Provide pharmaceutical care by counselling patients on the safe, effective, and rational use of medications.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Evaluate drug therapy, interactions, and dosing regimens using evidence-based clinical guidelines.</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Apply Iraqi pharmaceutical regulations and quality standards in managing community and hospital pharmacy practice.</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and effective communication, promoting rational medicine use and public-health awareness in the community of Mosul and Iraq.</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in drug discovery, pharmaceutical analysis, and clinical decision support.</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green pharmacy and green chemistry principles in pharmaceutical practice and production.</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medication and health data to support rational, sustainable pharmaceutical care.</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Contribute to safe medication disposal and environmentally responsible pharmaceutical management in Iraq.</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sustainable healthcare and support the SDGs through pharmaceutical practice.</w:t>
      </w:r>
    </w:p>
    <w:p>
      <w:pPr>
        <w:pStyle w:val="Heading1"/>
        <w:pageBreakBefore/>
      </w:pPr>
      <w:r>
        <w:rPr>
          <w:rFonts w:ascii="Calibri" w:cs="Calibri" w:eastAsia="Calibri" w:hAnsi="Calibri"/>
        </w:rPr>
        <w:t xml:space="preserve">10. College of Nursing (CNUR)</w:t>
      </w:r>
    </w:p>
    <w:p>
      <w:pPr>
        <w:pStyle w:val="Heading2"/>
        <w:spacing w:before="240"/>
      </w:pPr>
      <w:r>
        <w:rPr>
          <w:rFonts w:ascii="Calibri" w:cs="Calibri" w:eastAsia="Calibri" w:hAnsi="Calibri"/>
        </w:rPr>
        <w:t xml:space="preserve">Nursing Programme (CNUR)</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Nursing programme as offered by Al-Hadba University under the supervision of the Ministry of Higher Education and Scientific Research (MoHESR). The programme leads to the award of Bachelor of Science (B.Sc.) in Nursing after 4 academic years of full-time study, and is delivered through the Bologna Process, with a two-semester structure, 240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Nursing</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Nursing</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CNUR</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AHU18100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Nursing</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240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institution in nursing education, clinical practice, and healthcare innovation, recognized for producing highly skilled, compassionate, and research-driven nurses who enhance health outcomes locally, nationally, and globally.</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College of Nursing at AHU is committed to:</w:t>
      </w:r>
    </w:p>
    <w:p>
      <w:pPr>
        <w:pStyle w:val="ListParagraph"/>
        <w:numPr>
          <w:ilvl w:val="0"/>
          <w:numId w:val="2"/>
        </w:numPr>
        <w:spacing w:after="40"/>
      </w:pPr>
      <w:r>
        <w:rPr>
          <w:rFonts w:ascii="Calibri" w:cs="Calibri" w:eastAsia="Calibri" w:hAnsi="Calibri"/>
          <w:sz w:val="24"/>
          <w:szCs w:val="24"/>
        </w:rPr>
        <w:t xml:space="preserve">Delivering high-quality nursing education that integrates clinical expertise with scientific research.</w:t>
      </w:r>
    </w:p>
    <w:p>
      <w:pPr>
        <w:pStyle w:val="ListParagraph"/>
        <w:numPr>
          <w:ilvl w:val="0"/>
          <w:numId w:val="2"/>
        </w:numPr>
        <w:spacing w:after="40"/>
      </w:pPr>
      <w:r>
        <w:rPr>
          <w:rFonts w:ascii="Calibri" w:cs="Calibri" w:eastAsia="Calibri" w:hAnsi="Calibri"/>
          <w:sz w:val="24"/>
          <w:szCs w:val="24"/>
        </w:rPr>
        <w:t xml:space="preserve">Preparing competent, ethical, and compassionate nursing professionals who prioritize patient-centered care.</w:t>
      </w:r>
    </w:p>
    <w:p>
      <w:pPr>
        <w:pStyle w:val="ListParagraph"/>
        <w:numPr>
          <w:ilvl w:val="0"/>
          <w:numId w:val="2"/>
        </w:numPr>
        <w:spacing w:after="40"/>
      </w:pPr>
      <w:r>
        <w:rPr>
          <w:rFonts w:ascii="Calibri" w:cs="Calibri" w:eastAsia="Calibri" w:hAnsi="Calibri"/>
          <w:sz w:val="24"/>
          <w:szCs w:val="24"/>
        </w:rPr>
        <w:t xml:space="preserve">Advancing nursing knowledge through innovative research and evidence-based practice.</w:t>
      </w:r>
    </w:p>
    <w:p>
      <w:pPr>
        <w:pStyle w:val="ListParagraph"/>
        <w:numPr>
          <w:ilvl w:val="0"/>
          <w:numId w:val="2"/>
        </w:numPr>
        <w:spacing w:after="40"/>
      </w:pPr>
      <w:r>
        <w:rPr>
          <w:rFonts w:ascii="Calibri" w:cs="Calibri" w:eastAsia="Calibri" w:hAnsi="Calibri"/>
          <w:sz w:val="24"/>
          <w:szCs w:val="24"/>
        </w:rPr>
        <w:t xml:space="preserve">Promoting community health initiatives by addressing public health needs through outreach programmes.</w:t>
      </w:r>
    </w:p>
    <w:p>
      <w:pPr>
        <w:pStyle w:val="ListParagraph"/>
        <w:numPr>
          <w:ilvl w:val="0"/>
          <w:numId w:val="2"/>
        </w:numPr>
        <w:spacing w:after="40"/>
      </w:pPr>
      <w:r>
        <w:rPr>
          <w:rFonts w:ascii="Calibri" w:cs="Calibri" w:eastAsia="Calibri" w:hAnsi="Calibri"/>
          <w:sz w:val="24"/>
          <w:szCs w:val="24"/>
        </w:rPr>
        <w:t xml:space="preserve">Strengthening partnerships with healthcare institutions to enhance student training and career opportunities.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Innovation</w:t>
      </w:r>
    </w:p>
    <w:p>
      <w:pPr>
        <w:pStyle w:val="ListParagraph"/>
        <w:numPr>
          <w:ilvl w:val="0"/>
          <w:numId w:val="2"/>
        </w:numPr>
        <w:spacing w:after="40"/>
      </w:pPr>
      <w:r>
        <w:rPr>
          <w:rFonts w:ascii="Calibri" w:cs="Calibri" w:eastAsia="Calibri" w:hAnsi="Calibri"/>
          <w:sz w:val="24"/>
          <w:szCs w:val="24"/>
        </w:rPr>
        <w:t xml:space="preserve">Develop modern, competency-based nursing curricula aligned with global standards.</w:t>
      </w:r>
    </w:p>
    <w:p>
      <w:pPr>
        <w:pStyle w:val="ListParagraph"/>
        <w:numPr>
          <w:ilvl w:val="0"/>
          <w:numId w:val="2"/>
        </w:numPr>
        <w:spacing w:after="40"/>
      </w:pPr>
      <w:r>
        <w:rPr>
          <w:rFonts w:ascii="Calibri" w:cs="Calibri" w:eastAsia="Calibri" w:hAnsi="Calibri"/>
          <w:sz w:val="24"/>
          <w:szCs w:val="24"/>
        </w:rPr>
        <w:t xml:space="preserve">Integrate evidence-based practices and digital healthcare technologies into coursework.</w:t>
      </w:r>
    </w:p>
    <w:p>
      <w:pPr>
        <w:pStyle w:val="ListParagraph"/>
        <w:numPr>
          <w:ilvl w:val="0"/>
          <w:numId w:val="2"/>
        </w:numPr>
        <w:spacing w:after="40"/>
      </w:pPr>
      <w:r>
        <w:rPr>
          <w:rFonts w:ascii="Calibri" w:cs="Calibri" w:eastAsia="Calibri" w:hAnsi="Calibri"/>
          <w:sz w:val="24"/>
          <w:szCs w:val="24"/>
        </w:rPr>
        <w:t xml:space="preserve">Foster critical thinking and clinical reasoning skills through practical simulations.</w:t>
      </w:r>
    </w:p>
    <w:p>
      <w:pPr>
        <w:spacing w:after="40" w:before="120"/>
      </w:pPr>
      <w:r>
        <w:rPr>
          <w:rFonts w:ascii="Calibri" w:cs="Calibri" w:eastAsia="Calibri" w:hAnsi="Calibri"/>
          <w:b/>
          <w:bCs/>
          <w:color w:val="9A3318"/>
          <w:sz w:val="24"/>
          <w:szCs w:val="24"/>
        </w:rPr>
        <w:t xml:space="preserve">✅ 2. Clinical Training and Practical Experience</w:t>
      </w:r>
    </w:p>
    <w:p>
      <w:pPr>
        <w:pStyle w:val="ListParagraph"/>
        <w:numPr>
          <w:ilvl w:val="0"/>
          <w:numId w:val="2"/>
        </w:numPr>
        <w:spacing w:after="40"/>
      </w:pPr>
      <w:r>
        <w:rPr>
          <w:rFonts w:ascii="Calibri" w:cs="Calibri" w:eastAsia="Calibri" w:hAnsi="Calibri"/>
          <w:sz w:val="24"/>
          <w:szCs w:val="24"/>
        </w:rPr>
        <w:t xml:space="preserve">Provide hands-on clinical experiences in hospitals, clinics, and community health centres.</w:t>
      </w:r>
    </w:p>
    <w:p>
      <w:pPr>
        <w:pStyle w:val="ListParagraph"/>
        <w:numPr>
          <w:ilvl w:val="0"/>
          <w:numId w:val="2"/>
        </w:numPr>
        <w:spacing w:after="40"/>
      </w:pPr>
      <w:r>
        <w:rPr>
          <w:rFonts w:ascii="Calibri" w:cs="Calibri" w:eastAsia="Calibri" w:hAnsi="Calibri"/>
          <w:sz w:val="24"/>
          <w:szCs w:val="24"/>
        </w:rPr>
        <w:t xml:space="preserve">Expand clinical partnerships to enhance real-world learning opportunities.</w:t>
      </w:r>
    </w:p>
    <w:p>
      <w:pPr>
        <w:pStyle w:val="ListParagraph"/>
        <w:numPr>
          <w:ilvl w:val="0"/>
          <w:numId w:val="2"/>
        </w:numPr>
        <w:spacing w:after="40"/>
      </w:pPr>
      <w:r>
        <w:rPr>
          <w:rFonts w:ascii="Calibri" w:cs="Calibri" w:eastAsia="Calibri" w:hAnsi="Calibri"/>
          <w:sz w:val="24"/>
          <w:szCs w:val="24"/>
        </w:rPr>
        <w:t xml:space="preserve">Ensure students gain expertise in diverse healthcare settings.</w:t>
      </w:r>
    </w:p>
    <w:p>
      <w:pPr>
        <w:spacing w:after="40" w:before="120"/>
      </w:pPr>
      <w:r>
        <w:rPr>
          <w:rFonts w:ascii="Calibri" w:cs="Calibri" w:eastAsia="Calibri" w:hAnsi="Calibri"/>
          <w:b/>
          <w:bCs/>
          <w:color w:val="9A3318"/>
          <w:sz w:val="24"/>
          <w:szCs w:val="24"/>
        </w:rPr>
        <w:t xml:space="preserve">✅ 3. Research and Scientific Advancement</w:t>
      </w:r>
    </w:p>
    <w:p>
      <w:pPr>
        <w:pStyle w:val="ListParagraph"/>
        <w:numPr>
          <w:ilvl w:val="0"/>
          <w:numId w:val="2"/>
        </w:numPr>
        <w:spacing w:after="40"/>
      </w:pPr>
      <w:r>
        <w:rPr>
          <w:rFonts w:ascii="Calibri" w:cs="Calibri" w:eastAsia="Calibri" w:hAnsi="Calibri"/>
          <w:sz w:val="24"/>
          <w:szCs w:val="24"/>
        </w:rPr>
        <w:t xml:space="preserve">Promote faculty and student-led research on public health, patient safety, and healthcare policies.</w:t>
      </w:r>
    </w:p>
    <w:p>
      <w:pPr>
        <w:pStyle w:val="ListParagraph"/>
        <w:numPr>
          <w:ilvl w:val="0"/>
          <w:numId w:val="2"/>
        </w:numPr>
        <w:spacing w:after="40"/>
      </w:pPr>
      <w:r>
        <w:rPr>
          <w:rFonts w:ascii="Calibri" w:cs="Calibri" w:eastAsia="Calibri" w:hAnsi="Calibri"/>
          <w:sz w:val="24"/>
          <w:szCs w:val="24"/>
        </w:rPr>
        <w:t xml:space="preserve">Encourage participation in local and international nursing conferences.</w:t>
      </w:r>
    </w:p>
    <w:p>
      <w:pPr>
        <w:pStyle w:val="ListParagraph"/>
        <w:numPr>
          <w:ilvl w:val="0"/>
          <w:numId w:val="2"/>
        </w:numPr>
        <w:spacing w:after="40"/>
      </w:pPr>
      <w:r>
        <w:rPr>
          <w:rFonts w:ascii="Calibri" w:cs="Calibri" w:eastAsia="Calibri" w:hAnsi="Calibri"/>
          <w:sz w:val="24"/>
          <w:szCs w:val="24"/>
        </w:rPr>
        <w:t xml:space="preserve">Support publication of scientific papers in reputable journals.</w:t>
      </w:r>
    </w:p>
    <w:p>
      <w:pPr>
        <w:spacing w:after="40" w:before="120"/>
      </w:pPr>
      <w:r>
        <w:rPr>
          <w:rFonts w:ascii="Calibri" w:cs="Calibri" w:eastAsia="Calibri" w:hAnsi="Calibri"/>
          <w:b/>
          <w:bCs/>
          <w:color w:val="9A3318"/>
          <w:sz w:val="24"/>
          <w:szCs w:val="24"/>
        </w:rPr>
        <w:t xml:space="preserve">✅ 4. Community Engagement and Healthcare Impact</w:t>
      </w:r>
    </w:p>
    <w:p>
      <w:pPr>
        <w:pStyle w:val="ListParagraph"/>
        <w:numPr>
          <w:ilvl w:val="0"/>
          <w:numId w:val="2"/>
        </w:numPr>
        <w:spacing w:after="40"/>
      </w:pPr>
      <w:r>
        <w:rPr>
          <w:rFonts w:ascii="Calibri" w:cs="Calibri" w:eastAsia="Calibri" w:hAnsi="Calibri"/>
          <w:sz w:val="24"/>
          <w:szCs w:val="24"/>
        </w:rPr>
        <w:t xml:space="preserve">Organize health awareness campaigns and free medical consultations.</w:t>
      </w:r>
    </w:p>
    <w:p>
      <w:pPr>
        <w:pStyle w:val="ListParagraph"/>
        <w:numPr>
          <w:ilvl w:val="0"/>
          <w:numId w:val="2"/>
        </w:numPr>
        <w:spacing w:after="40"/>
      </w:pPr>
      <w:r>
        <w:rPr>
          <w:rFonts w:ascii="Calibri" w:cs="Calibri" w:eastAsia="Calibri" w:hAnsi="Calibri"/>
          <w:sz w:val="24"/>
          <w:szCs w:val="24"/>
        </w:rPr>
        <w:t xml:space="preserve">Implement outreach programmes focusing on preventive care and health promotion.</w:t>
      </w:r>
    </w:p>
    <w:p>
      <w:pPr>
        <w:pStyle w:val="ListParagraph"/>
        <w:numPr>
          <w:ilvl w:val="0"/>
          <w:numId w:val="2"/>
        </w:numPr>
        <w:spacing w:after="40"/>
      </w:pPr>
      <w:r>
        <w:rPr>
          <w:rFonts w:ascii="Calibri" w:cs="Calibri" w:eastAsia="Calibri" w:hAnsi="Calibri"/>
          <w:sz w:val="24"/>
          <w:szCs w:val="24"/>
        </w:rPr>
        <w:t xml:space="preserve">Collaborate with public health agencies to address local healthcare challenges.</w:t>
      </w:r>
    </w:p>
    <w:p>
      <w:pPr>
        <w:spacing w:after="40" w:before="120"/>
      </w:pPr>
      <w:r>
        <w:rPr>
          <w:rFonts w:ascii="Calibri" w:cs="Calibri" w:eastAsia="Calibri" w:hAnsi="Calibri"/>
          <w:b/>
          <w:bCs/>
          <w:color w:val="9A3318"/>
          <w:sz w:val="24"/>
          <w:szCs w:val="24"/>
        </w:rPr>
        <w:t xml:space="preserve">✅ 5. Career Development and Employability</w:t>
      </w:r>
    </w:p>
    <w:p>
      <w:pPr>
        <w:pStyle w:val="ListParagraph"/>
        <w:numPr>
          <w:ilvl w:val="0"/>
          <w:numId w:val="2"/>
        </w:numPr>
        <w:spacing w:after="40"/>
      </w:pPr>
      <w:r>
        <w:rPr>
          <w:rFonts w:ascii="Calibri" w:cs="Calibri" w:eastAsia="Calibri" w:hAnsi="Calibri"/>
          <w:sz w:val="24"/>
          <w:szCs w:val="24"/>
        </w:rPr>
        <w:t xml:space="preserve">Strengthen career services to help graduates transition into healthcare roles.</w:t>
      </w:r>
    </w:p>
    <w:p>
      <w:pPr>
        <w:pStyle w:val="ListParagraph"/>
        <w:numPr>
          <w:ilvl w:val="0"/>
          <w:numId w:val="2"/>
        </w:numPr>
        <w:spacing w:after="40"/>
      </w:pPr>
      <w:r>
        <w:rPr>
          <w:rFonts w:ascii="Calibri" w:cs="Calibri" w:eastAsia="Calibri" w:hAnsi="Calibri"/>
          <w:sz w:val="24"/>
          <w:szCs w:val="24"/>
        </w:rPr>
        <w:t xml:space="preserve">Provide internships and mentorship programmes with leading healthcare organizations.</w:t>
      </w:r>
    </w:p>
    <w:p>
      <w:pPr>
        <w:pStyle w:val="ListParagraph"/>
        <w:numPr>
          <w:ilvl w:val="0"/>
          <w:numId w:val="2"/>
        </w:numPr>
        <w:spacing w:after="40"/>
      </w:pPr>
      <w:r>
        <w:rPr>
          <w:rFonts w:ascii="Calibri" w:cs="Calibri" w:eastAsia="Calibri" w:hAnsi="Calibri"/>
          <w:sz w:val="24"/>
          <w:szCs w:val="24"/>
        </w:rPr>
        <w:t xml:space="preserve">Enhance alumni relations to create networking and job placement opportunities.</w:t>
      </w:r>
    </w:p>
    <w:p>
      <w:pPr>
        <w:spacing w:after="40" w:before="120"/>
      </w:pPr>
      <w:r>
        <w:rPr>
          <w:rFonts w:ascii="Calibri" w:cs="Calibri" w:eastAsia="Calibri" w:hAnsi="Calibri"/>
          <w:b/>
          <w:bCs/>
          <w:color w:val="9A3318"/>
          <w:sz w:val="24"/>
          <w:szCs w:val="24"/>
        </w:rPr>
        <w:t xml:space="preserve">✅ 6. Quality Assurance and Accreditation</w:t>
      </w:r>
    </w:p>
    <w:p>
      <w:pPr>
        <w:pStyle w:val="ListParagraph"/>
        <w:numPr>
          <w:ilvl w:val="0"/>
          <w:numId w:val="2"/>
        </w:numPr>
        <w:spacing w:after="40"/>
      </w:pPr>
      <w:r>
        <w:rPr>
          <w:rFonts w:ascii="Calibri" w:cs="Calibri" w:eastAsia="Calibri" w:hAnsi="Calibri"/>
          <w:sz w:val="24"/>
          <w:szCs w:val="24"/>
        </w:rPr>
        <w:t xml:space="preserve">Ensure compliance with MoHESR standards and pursue international accreditation.</w:t>
      </w:r>
    </w:p>
    <w:p>
      <w:pPr>
        <w:pStyle w:val="ListParagraph"/>
        <w:numPr>
          <w:ilvl w:val="0"/>
          <w:numId w:val="2"/>
        </w:numPr>
        <w:spacing w:after="40"/>
      </w:pPr>
      <w:r>
        <w:rPr>
          <w:rFonts w:ascii="Calibri" w:cs="Calibri" w:eastAsia="Calibri" w:hAnsi="Calibri"/>
          <w:sz w:val="24"/>
          <w:szCs w:val="24"/>
        </w:rPr>
        <w:t xml:space="preserve">Adopt quality assurance frameworks for continuous programme improvement.</w:t>
      </w:r>
    </w:p>
    <w:p>
      <w:pPr>
        <w:pStyle w:val="ListParagraph"/>
        <w:numPr>
          <w:ilvl w:val="0"/>
          <w:numId w:val="2"/>
        </w:numPr>
        <w:spacing w:after="40"/>
      </w:pPr>
      <w:r>
        <w:rPr>
          <w:rFonts w:ascii="Calibri" w:cs="Calibri" w:eastAsia="Calibri" w:hAnsi="Calibri"/>
          <w:sz w:val="24"/>
          <w:szCs w:val="24"/>
        </w:rPr>
        <w:t xml:space="preserve">Implement regular curriculum assessments based on healthcare trends.</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green healthcare, climate-health, and sustainable resource use into the curriculum.</w:t>
      </w:r>
    </w:p>
    <w:p>
      <w:pPr>
        <w:pStyle w:val="ListParagraph"/>
        <w:numPr>
          <w:ilvl w:val="0"/>
          <w:numId w:val="2"/>
        </w:numPr>
        <w:spacing w:after="40"/>
      </w:pPr>
      <w:r>
        <w:rPr>
          <w:rFonts w:ascii="Calibri" w:cs="Calibri" w:eastAsia="Calibri" w:hAnsi="Calibri"/>
          <w:sz w:val="24"/>
          <w:szCs w:val="24"/>
        </w:rPr>
        <w:t xml:space="preserve">Embed AI-supported monitoring and digital health tools in clinical training.</w:t>
      </w:r>
    </w:p>
    <w:p>
      <w:pPr>
        <w:pStyle w:val="ListParagraph"/>
        <w:numPr>
          <w:ilvl w:val="0"/>
          <w:numId w:val="2"/>
        </w:numPr>
        <w:spacing w:after="40"/>
      </w:pPr>
      <w:r>
        <w:rPr>
          <w:rFonts w:ascii="Calibri" w:cs="Calibri" w:eastAsia="Calibri" w:hAnsi="Calibri"/>
          <w:sz w:val="24"/>
          <w:szCs w:val="24"/>
        </w:rPr>
        <w:t xml:space="preserve">Promote environmentally responsible practice and SDG-aligned community health programmes.</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Nursing programme define the clinical competences, critical thinking, and compassionate professionalism expected of every graduate. Formulated according to the outcome-based approach of the Bologna Process and the Iraq National Qualifications Framework, they respond to the priority healthcare needs of Mosul and Nineveh Governorate and to Iraq's national demand for qualified nursing professionals.</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nursing science and evidence-based practice to deliver safe, patient-centred care across the lifespan.</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Perform clinical nursing skills and procedures competently in hospital, clinic, and community settings.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Assess, plan, implement, and evaluate nursing care using the nursing process and critical thinking.</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Promote health education and disease prevention programmes addressing the priority health needs of Mosul and Nineveh Governorate.</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compassion, and leadership within interprofessional healthcare teams, with a commitment to lifelong learning.</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and digital health technologies in patient monitoring and care planning.</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green healthcare practices in resource use, waste management, and infection control.</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patient and community health data to support evidence-based nursing decisions.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Contribute to sustainable, resilient healthcare delivery in Mosul and Nineveh.</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climate-health awareness and support the SDGs through nursing practice.</w:t>
      </w:r>
    </w:p>
    <w:p>
      <w:pPr>
        <w:pStyle w:val="Heading1"/>
        <w:pageBreakBefore/>
      </w:pPr>
      <w:r>
        <w:rPr>
          <w:rFonts w:ascii="Calibri" w:cs="Calibri" w:eastAsia="Calibri" w:hAnsi="Calibri"/>
        </w:rPr>
        <w:t xml:space="preserve">11. College of Physical Education and Sports Sciences (CPSS)</w:t>
      </w:r>
    </w:p>
    <w:p>
      <w:pPr>
        <w:pStyle w:val="Heading2"/>
        <w:spacing w:before="240"/>
      </w:pPr>
      <w:r>
        <w:rPr>
          <w:rFonts w:ascii="Calibri" w:cs="Calibri" w:eastAsia="Calibri" w:hAnsi="Calibri"/>
        </w:rPr>
        <w:t xml:space="preserve">Physical Education and Sports Sciences Programme (CPES)</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Physical Education and Sports Sciences programme as offered by Al-Hadba University under the supervision of the Ministry of Higher Education and Scientific Research (MoHESR). The programme leads to the award of Bachelor of Science (B.Sc.) in Physical Education and Sports Sciences after 4 academic years of full-time study, and is delivered through the Bologna Process, with a two-semester structure, 240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Physical Education and Sports Sciences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Physical Education and Sports Sciences</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CPES</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AHU19100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Science (B.Sc.) in Physical Education and Sports Sciences</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240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Arabic (with English terminology)</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institution in physical education and sports sciences, recognized for academic excellence, research impact, and community engagement, producing graduates who promote health, wellness, and sports excellence locally, regionally, and globally.</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College of Physical Education and Sports Sciences at AHU is committed to:</w:t>
      </w:r>
    </w:p>
    <w:p>
      <w:pPr>
        <w:pStyle w:val="ListParagraph"/>
        <w:numPr>
          <w:ilvl w:val="0"/>
          <w:numId w:val="2"/>
        </w:numPr>
        <w:spacing w:after="40"/>
      </w:pPr>
      <w:r>
        <w:rPr>
          <w:rFonts w:ascii="Calibri" w:cs="Calibri" w:eastAsia="Calibri" w:hAnsi="Calibri"/>
          <w:sz w:val="24"/>
          <w:szCs w:val="24"/>
        </w:rPr>
        <w:t xml:space="preserve">Delivering high-quality education that integrates scientific knowledge and practical skills in sports sciences and physical education.</w:t>
      </w:r>
    </w:p>
    <w:p>
      <w:pPr>
        <w:pStyle w:val="ListParagraph"/>
        <w:numPr>
          <w:ilvl w:val="0"/>
          <w:numId w:val="2"/>
        </w:numPr>
        <w:spacing w:after="40"/>
      </w:pPr>
      <w:r>
        <w:rPr>
          <w:rFonts w:ascii="Calibri" w:cs="Calibri" w:eastAsia="Calibri" w:hAnsi="Calibri"/>
          <w:sz w:val="24"/>
          <w:szCs w:val="24"/>
        </w:rPr>
        <w:t xml:space="preserve">Preparing competent professionals capable of improving physical performance, promoting healthy lifestyles, and enhancing sports training.</w:t>
      </w:r>
    </w:p>
    <w:p>
      <w:pPr>
        <w:pStyle w:val="ListParagraph"/>
        <w:numPr>
          <w:ilvl w:val="0"/>
          <w:numId w:val="2"/>
        </w:numPr>
        <w:spacing w:after="40"/>
      </w:pPr>
      <w:r>
        <w:rPr>
          <w:rFonts w:ascii="Calibri" w:cs="Calibri" w:eastAsia="Calibri" w:hAnsi="Calibri"/>
          <w:sz w:val="24"/>
          <w:szCs w:val="24"/>
        </w:rPr>
        <w:t xml:space="preserve">Driving research and innovation to advance human movement science, sports performance, and fitness practices.</w:t>
      </w:r>
    </w:p>
    <w:p>
      <w:pPr>
        <w:pStyle w:val="ListParagraph"/>
        <w:numPr>
          <w:ilvl w:val="0"/>
          <w:numId w:val="2"/>
        </w:numPr>
        <w:spacing w:after="40"/>
      </w:pPr>
      <w:r>
        <w:rPr>
          <w:rFonts w:ascii="Calibri" w:cs="Calibri" w:eastAsia="Calibri" w:hAnsi="Calibri"/>
          <w:sz w:val="24"/>
          <w:szCs w:val="24"/>
        </w:rPr>
        <w:t xml:space="preserve">Contributing to community health and wellness through outreach programmes, public health initiatives, and partnerships with sports organizations.</w:t>
      </w:r>
    </w:p>
    <w:p>
      <w:pPr>
        <w:pStyle w:val="ListParagraph"/>
        <w:numPr>
          <w:ilvl w:val="0"/>
          <w:numId w:val="2"/>
        </w:numPr>
        <w:spacing w:after="40"/>
      </w:pPr>
      <w:r>
        <w:rPr>
          <w:rFonts w:ascii="Calibri" w:cs="Calibri" w:eastAsia="Calibri" w:hAnsi="Calibri"/>
          <w:sz w:val="24"/>
          <w:szCs w:val="24"/>
        </w:rPr>
        <w:t xml:space="preserve">Fostering leadership and ethical values in sports coaching, management, and physical education.</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Programme Development</w:t>
      </w:r>
    </w:p>
    <w:p>
      <w:pPr>
        <w:pStyle w:val="ListParagraph"/>
        <w:numPr>
          <w:ilvl w:val="0"/>
          <w:numId w:val="2"/>
        </w:numPr>
        <w:spacing w:after="40"/>
      </w:pPr>
      <w:r>
        <w:rPr>
          <w:rFonts w:ascii="Calibri" w:cs="Calibri" w:eastAsia="Calibri" w:hAnsi="Calibri"/>
          <w:sz w:val="24"/>
          <w:szCs w:val="24"/>
        </w:rPr>
        <w:t xml:space="preserve">Offer industry-aligned curricula focused on physical education, coaching, and sports sciences.</w:t>
      </w:r>
    </w:p>
    <w:p>
      <w:pPr>
        <w:pStyle w:val="ListParagraph"/>
        <w:numPr>
          <w:ilvl w:val="0"/>
          <w:numId w:val="2"/>
        </w:numPr>
        <w:spacing w:after="40"/>
      </w:pPr>
      <w:r>
        <w:rPr>
          <w:rFonts w:ascii="Calibri" w:cs="Calibri" w:eastAsia="Calibri" w:hAnsi="Calibri"/>
          <w:sz w:val="24"/>
          <w:szCs w:val="24"/>
        </w:rPr>
        <w:t xml:space="preserve">Introduce new specialized programmes and certifications in sports management, fitness, and rehabilitation.</w:t>
      </w:r>
    </w:p>
    <w:p>
      <w:pPr>
        <w:pStyle w:val="ListParagraph"/>
        <w:numPr>
          <w:ilvl w:val="0"/>
          <w:numId w:val="2"/>
        </w:numPr>
        <w:spacing w:after="40"/>
      </w:pPr>
      <w:r>
        <w:rPr>
          <w:rFonts w:ascii="Calibri" w:cs="Calibri" w:eastAsia="Calibri" w:hAnsi="Calibri"/>
          <w:sz w:val="24"/>
          <w:szCs w:val="24"/>
        </w:rPr>
        <w:t xml:space="preserve">Enhance digital learning platforms to support blended and online education.</w:t>
      </w:r>
    </w:p>
    <w:p>
      <w:pPr>
        <w:spacing w:after="40" w:before="120"/>
      </w:pPr>
      <w:r>
        <w:rPr>
          <w:rFonts w:ascii="Calibri" w:cs="Calibri" w:eastAsia="Calibri" w:hAnsi="Calibri"/>
          <w:b/>
          <w:bCs/>
          <w:color w:val="9A3318"/>
          <w:sz w:val="24"/>
          <w:szCs w:val="24"/>
        </w:rPr>
        <w:t xml:space="preserve">✅ 2. Practical Training and Skill Development</w:t>
      </w:r>
    </w:p>
    <w:p>
      <w:pPr>
        <w:pStyle w:val="ListParagraph"/>
        <w:numPr>
          <w:ilvl w:val="0"/>
          <w:numId w:val="2"/>
        </w:numPr>
        <w:spacing w:after="40"/>
      </w:pPr>
      <w:r>
        <w:rPr>
          <w:rFonts w:ascii="Calibri" w:cs="Calibri" w:eastAsia="Calibri" w:hAnsi="Calibri"/>
          <w:sz w:val="24"/>
          <w:szCs w:val="24"/>
        </w:rPr>
        <w:t xml:space="preserve">Provide hands-on experience in sports coaching, fitness training, and performance analysis.</w:t>
      </w:r>
    </w:p>
    <w:p>
      <w:pPr>
        <w:pStyle w:val="ListParagraph"/>
        <w:numPr>
          <w:ilvl w:val="0"/>
          <w:numId w:val="2"/>
        </w:numPr>
        <w:spacing w:after="40"/>
      </w:pPr>
      <w:r>
        <w:rPr>
          <w:rFonts w:ascii="Calibri" w:cs="Calibri" w:eastAsia="Calibri" w:hAnsi="Calibri"/>
          <w:sz w:val="24"/>
          <w:szCs w:val="24"/>
        </w:rPr>
        <w:t xml:space="preserve">Offer internship opportunities with sports clubs, schools, and fitness centres.</w:t>
      </w:r>
    </w:p>
    <w:p>
      <w:pPr>
        <w:pStyle w:val="ListParagraph"/>
        <w:numPr>
          <w:ilvl w:val="0"/>
          <w:numId w:val="2"/>
        </w:numPr>
        <w:spacing w:after="40"/>
      </w:pPr>
      <w:r>
        <w:rPr>
          <w:rFonts w:ascii="Calibri" w:cs="Calibri" w:eastAsia="Calibri" w:hAnsi="Calibri"/>
          <w:sz w:val="24"/>
          <w:szCs w:val="24"/>
        </w:rPr>
        <w:t xml:space="preserve">Train students in modern coaching techniques, sports analytics, and fitness assessment.</w:t>
      </w:r>
    </w:p>
    <w:p>
      <w:pPr>
        <w:spacing w:after="40" w:before="120"/>
      </w:pPr>
      <w:r>
        <w:rPr>
          <w:rFonts w:ascii="Calibri" w:cs="Calibri" w:eastAsia="Calibri" w:hAnsi="Calibri"/>
          <w:b/>
          <w:bCs/>
          <w:color w:val="9A3318"/>
          <w:sz w:val="24"/>
          <w:szCs w:val="24"/>
        </w:rPr>
        <w:t xml:space="preserve">✅ 3. Research and Scientific Advancement</w:t>
      </w:r>
    </w:p>
    <w:p>
      <w:pPr>
        <w:pStyle w:val="ListParagraph"/>
        <w:numPr>
          <w:ilvl w:val="0"/>
          <w:numId w:val="2"/>
        </w:numPr>
        <w:spacing w:after="40"/>
      </w:pPr>
      <w:r>
        <w:rPr>
          <w:rFonts w:ascii="Calibri" w:cs="Calibri" w:eastAsia="Calibri" w:hAnsi="Calibri"/>
          <w:sz w:val="24"/>
          <w:szCs w:val="24"/>
        </w:rPr>
        <w:t xml:space="preserve">Promote faculty and student-led research in sports sciences, injury prevention, and human performance.</w:t>
      </w:r>
    </w:p>
    <w:p>
      <w:pPr>
        <w:pStyle w:val="ListParagraph"/>
        <w:numPr>
          <w:ilvl w:val="0"/>
          <w:numId w:val="2"/>
        </w:numPr>
        <w:spacing w:after="40"/>
      </w:pPr>
      <w:r>
        <w:rPr>
          <w:rFonts w:ascii="Calibri" w:cs="Calibri" w:eastAsia="Calibri" w:hAnsi="Calibri"/>
          <w:sz w:val="24"/>
          <w:szCs w:val="24"/>
        </w:rPr>
        <w:t xml:space="preserve">Establish research centres for sports technology and rehabilitation.</w:t>
      </w:r>
    </w:p>
    <w:p>
      <w:pPr>
        <w:pStyle w:val="ListParagraph"/>
        <w:numPr>
          <w:ilvl w:val="0"/>
          <w:numId w:val="2"/>
        </w:numPr>
        <w:spacing w:after="40"/>
      </w:pPr>
      <w:r>
        <w:rPr>
          <w:rFonts w:ascii="Calibri" w:cs="Calibri" w:eastAsia="Calibri" w:hAnsi="Calibri"/>
          <w:sz w:val="24"/>
          <w:szCs w:val="24"/>
        </w:rPr>
        <w:t xml:space="preserve">Encourage publications in international sports journals and participation in conferences.</w:t>
      </w:r>
    </w:p>
    <w:p>
      <w:pPr>
        <w:spacing w:after="40" w:before="120"/>
      </w:pPr>
      <w:r>
        <w:rPr>
          <w:rFonts w:ascii="Calibri" w:cs="Calibri" w:eastAsia="Calibri" w:hAnsi="Calibri"/>
          <w:b/>
          <w:bCs/>
          <w:color w:val="9A3318"/>
          <w:sz w:val="24"/>
          <w:szCs w:val="24"/>
        </w:rPr>
        <w:t xml:space="preserve">✅ 4. Industry Partnerships and Community Engagement</w:t>
      </w:r>
    </w:p>
    <w:p>
      <w:pPr>
        <w:pStyle w:val="ListParagraph"/>
        <w:numPr>
          <w:ilvl w:val="0"/>
          <w:numId w:val="2"/>
        </w:numPr>
        <w:spacing w:after="40"/>
      </w:pPr>
      <w:r>
        <w:rPr>
          <w:rFonts w:ascii="Calibri" w:cs="Calibri" w:eastAsia="Calibri" w:hAnsi="Calibri"/>
          <w:sz w:val="24"/>
          <w:szCs w:val="24"/>
        </w:rPr>
        <w:t xml:space="preserve">Build strong collaborations with sports organizations, health institutions, and fitness centres.</w:t>
      </w:r>
    </w:p>
    <w:p>
      <w:pPr>
        <w:pStyle w:val="ListParagraph"/>
        <w:numPr>
          <w:ilvl w:val="0"/>
          <w:numId w:val="2"/>
        </w:numPr>
        <w:spacing w:after="40"/>
      </w:pPr>
      <w:r>
        <w:rPr>
          <w:rFonts w:ascii="Calibri" w:cs="Calibri" w:eastAsia="Calibri" w:hAnsi="Calibri"/>
          <w:sz w:val="24"/>
          <w:szCs w:val="24"/>
        </w:rPr>
        <w:t xml:space="preserve">Offer community sports programmes to promote health and physical activity.</w:t>
      </w:r>
    </w:p>
    <w:p>
      <w:pPr>
        <w:pStyle w:val="ListParagraph"/>
        <w:numPr>
          <w:ilvl w:val="0"/>
          <w:numId w:val="2"/>
        </w:numPr>
        <w:spacing w:after="40"/>
      </w:pPr>
      <w:r>
        <w:rPr>
          <w:rFonts w:ascii="Calibri" w:cs="Calibri" w:eastAsia="Calibri" w:hAnsi="Calibri"/>
          <w:sz w:val="24"/>
          <w:szCs w:val="24"/>
        </w:rPr>
        <w:t xml:space="preserve">Develop joint initiatives with professional sports teams and federations.</w:t>
      </w:r>
    </w:p>
    <w:p>
      <w:pPr>
        <w:spacing w:after="40" w:before="120"/>
      </w:pPr>
      <w:r>
        <w:rPr>
          <w:rFonts w:ascii="Calibri" w:cs="Calibri" w:eastAsia="Calibri" w:hAnsi="Calibri"/>
          <w:b/>
          <w:bCs/>
          <w:color w:val="9A3318"/>
          <w:sz w:val="24"/>
          <w:szCs w:val="24"/>
        </w:rPr>
        <w:t xml:space="preserve">✅ 5. Student Success and Career Development</w:t>
      </w:r>
    </w:p>
    <w:p>
      <w:pPr>
        <w:pStyle w:val="ListParagraph"/>
        <w:numPr>
          <w:ilvl w:val="0"/>
          <w:numId w:val="2"/>
        </w:numPr>
        <w:spacing w:after="40"/>
      </w:pPr>
      <w:r>
        <w:rPr>
          <w:rFonts w:ascii="Calibri" w:cs="Calibri" w:eastAsia="Calibri" w:hAnsi="Calibri"/>
          <w:sz w:val="24"/>
          <w:szCs w:val="24"/>
        </w:rPr>
        <w:t xml:space="preserve">Provide career counseling and mentorship to prepare students for diverse career pathways.</w:t>
      </w:r>
    </w:p>
    <w:p>
      <w:pPr>
        <w:pStyle w:val="ListParagraph"/>
        <w:numPr>
          <w:ilvl w:val="0"/>
          <w:numId w:val="2"/>
        </w:numPr>
        <w:spacing w:after="40"/>
      </w:pPr>
      <w:r>
        <w:rPr>
          <w:rFonts w:ascii="Calibri" w:cs="Calibri" w:eastAsia="Calibri" w:hAnsi="Calibri"/>
          <w:sz w:val="24"/>
          <w:szCs w:val="24"/>
        </w:rPr>
        <w:t xml:space="preserve">Offer networking opportunities through alumni events and industry connections.</w:t>
      </w:r>
    </w:p>
    <w:p>
      <w:pPr>
        <w:pStyle w:val="ListParagraph"/>
        <w:numPr>
          <w:ilvl w:val="0"/>
          <w:numId w:val="2"/>
        </w:numPr>
        <w:spacing w:after="40"/>
      </w:pPr>
      <w:r>
        <w:rPr>
          <w:rFonts w:ascii="Calibri" w:cs="Calibri" w:eastAsia="Calibri" w:hAnsi="Calibri"/>
          <w:sz w:val="24"/>
          <w:szCs w:val="24"/>
        </w:rPr>
        <w:t xml:space="preserve">Equip students with certifications in coaching, personal training, and sports rehabilitation.</w:t>
      </w:r>
    </w:p>
    <w:p>
      <w:pPr>
        <w:spacing w:after="40" w:before="120"/>
      </w:pPr>
      <w:r>
        <w:rPr>
          <w:rFonts w:ascii="Calibri" w:cs="Calibri" w:eastAsia="Calibri" w:hAnsi="Calibri"/>
          <w:b/>
          <w:bCs/>
          <w:color w:val="9A3318"/>
          <w:sz w:val="24"/>
          <w:szCs w:val="24"/>
        </w:rPr>
        <w:t xml:space="preserve">✅ 6. Quality Assurance and Global Recognition</w:t>
      </w:r>
    </w:p>
    <w:p>
      <w:pPr>
        <w:pStyle w:val="ListParagraph"/>
        <w:numPr>
          <w:ilvl w:val="0"/>
          <w:numId w:val="2"/>
        </w:numPr>
        <w:spacing w:after="40"/>
      </w:pPr>
      <w:r>
        <w:rPr>
          <w:rFonts w:ascii="Calibri" w:cs="Calibri" w:eastAsia="Calibri" w:hAnsi="Calibri"/>
          <w:sz w:val="24"/>
          <w:szCs w:val="24"/>
        </w:rPr>
        <w:t xml:space="preserve">Align programmes with MoHESR and international sports education standards.</w:t>
      </w:r>
    </w:p>
    <w:p>
      <w:pPr>
        <w:pStyle w:val="ListParagraph"/>
        <w:numPr>
          <w:ilvl w:val="0"/>
          <w:numId w:val="2"/>
        </w:numPr>
        <w:spacing w:after="40"/>
      </w:pPr>
      <w:r>
        <w:rPr>
          <w:rFonts w:ascii="Calibri" w:cs="Calibri" w:eastAsia="Calibri" w:hAnsi="Calibri"/>
          <w:sz w:val="24"/>
          <w:szCs w:val="24"/>
        </w:rPr>
        <w:t xml:space="preserve">Pursue institutional and programmatic accreditation.</w:t>
      </w:r>
    </w:p>
    <w:p>
      <w:pPr>
        <w:pStyle w:val="ListParagraph"/>
        <w:numPr>
          <w:ilvl w:val="0"/>
          <w:numId w:val="2"/>
        </w:numPr>
        <w:spacing w:after="40"/>
      </w:pPr>
      <w:r>
        <w:rPr>
          <w:rFonts w:ascii="Calibri" w:cs="Calibri" w:eastAsia="Calibri" w:hAnsi="Calibri"/>
          <w:sz w:val="24"/>
          <w:szCs w:val="24"/>
        </w:rPr>
        <w:t xml:space="preserve">Implement continuous quality improvement processes in teaching and research.</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sustainable sport management and green facility practices into the curriculum.</w:t>
      </w:r>
    </w:p>
    <w:p>
      <w:pPr>
        <w:pStyle w:val="ListParagraph"/>
        <w:numPr>
          <w:ilvl w:val="0"/>
          <w:numId w:val="2"/>
        </w:numPr>
        <w:spacing w:after="40"/>
      </w:pPr>
      <w:r>
        <w:rPr>
          <w:rFonts w:ascii="Calibri" w:cs="Calibri" w:eastAsia="Calibri" w:hAnsi="Calibri"/>
          <w:sz w:val="24"/>
          <w:szCs w:val="24"/>
        </w:rPr>
        <w:t xml:space="preserve">Embed AI-based performance analysis and sports-technology tools in training.</w:t>
      </w:r>
    </w:p>
    <w:p>
      <w:pPr>
        <w:pStyle w:val="ListParagraph"/>
        <w:numPr>
          <w:ilvl w:val="0"/>
          <w:numId w:val="2"/>
        </w:numPr>
        <w:spacing w:after="40"/>
      </w:pPr>
      <w:r>
        <w:rPr>
          <w:rFonts w:ascii="Calibri" w:cs="Calibri" w:eastAsia="Calibri" w:hAnsi="Calibri"/>
          <w:sz w:val="24"/>
          <w:szCs w:val="24"/>
        </w:rPr>
        <w:t xml:space="preserve">Promote eco-friendly community sports events and active, healthy lifestyles.</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Physical Education and Sports Sciences programme define the scientific knowledge, coaching skills, and leadership qualities of its graduates. Developed in line with the outcome-based approach of the Bologna Process and the Iraq National Qualifications Framework, they promote healthy, active lifestyles and the revival of community and competitive sport in Mosul and Nineveh.</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sports sciences — anatomy, physiology, biomechanics, and sport psychology — to physical education and athletic training.</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Design and implement training and fitness programmes appropriate to different ages, abilities, and health conditions.</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Teach and coach physical education effectively using modern pedagogical methods in Iraqi schools, clubs, and sports institutions.</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Analyze physical and athletic performance using scientific assessment tools and modern sports technology.</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leadership and professional ethics, promoting healthy, active lifestyles and community sports participation in Mosul and Nineveh.</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and wearable technologies in performance analysis and training optimization.</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sustainable management of sports facilities, events, and equipment.</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fitness and performance data to design evidence-based training programmes.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Promote outdoor, nature-based, and environmentally friendly physical activity in the community.</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Demonstrate green sports leadership and contribute to the SDGs through health promotion.</w:t>
      </w:r>
    </w:p>
    <w:p>
      <w:pPr>
        <w:pStyle w:val="Heading1"/>
        <w:pageBreakBefore/>
      </w:pPr>
      <w:r>
        <w:rPr>
          <w:rFonts w:ascii="Calibri" w:cs="Calibri" w:eastAsia="Calibri" w:hAnsi="Calibri"/>
        </w:rPr>
        <w:t xml:space="preserve">12. College of Medicine (DMED)</w:t>
      </w:r>
    </w:p>
    <w:p>
      <w:pPr>
        <w:pStyle w:val="Heading2"/>
        <w:spacing w:before="240"/>
      </w:pPr>
      <w:r>
        <w:rPr>
          <w:rFonts w:ascii="Calibri" w:cs="Calibri" w:eastAsia="Calibri" w:hAnsi="Calibri"/>
        </w:rPr>
        <w:t xml:space="preserve">Medicine Programme (CMED)</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Medicine programme as offered by Al-Hadba University under the supervision of the Ministry of Higher Education and Scientific Research (MoHESR). The programme leads to the award of Bachelor of Medicine and General Surgery (M.B.Ch.B.) after 6 academic years of full-time study, and is delivered through the Iraqi academic teaching system and its course-unit framework, in accordance with MoHESR regulations.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Medicine</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Medicine</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CMED</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AHU23100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Medicine and General Surgery (M.B.Ch.B.)</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6 academic years (12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Iraqi academic teaching system (MoHESR)</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Iraqi course-unit system in accordance with MoHESR regulations</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institution in medical education, clinical practice, and health research, recognized for producing competent, compassionate, and ethical physicians who advance healthcare outcomes in Mosul, Iraq, and beyond.</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College of Medicine at AHU is committed to:</w:t>
      </w:r>
    </w:p>
    <w:p>
      <w:pPr>
        <w:pStyle w:val="ListParagraph"/>
        <w:numPr>
          <w:ilvl w:val="0"/>
          <w:numId w:val="2"/>
        </w:numPr>
        <w:spacing w:after="40"/>
      </w:pPr>
      <w:r>
        <w:rPr>
          <w:rFonts w:ascii="Calibri" w:cs="Calibri" w:eastAsia="Calibri" w:hAnsi="Calibri"/>
          <w:sz w:val="24"/>
          <w:szCs w:val="24"/>
        </w:rPr>
        <w:t xml:space="preserve">Delivering high-quality medical education that integrates biomedical sciences with early and extensive clinical training.</w:t>
      </w:r>
    </w:p>
    <w:p>
      <w:pPr>
        <w:pStyle w:val="ListParagraph"/>
        <w:numPr>
          <w:ilvl w:val="0"/>
          <w:numId w:val="2"/>
        </w:numPr>
        <w:spacing w:after="40"/>
      </w:pPr>
      <w:r>
        <w:rPr>
          <w:rFonts w:ascii="Calibri" w:cs="Calibri" w:eastAsia="Calibri" w:hAnsi="Calibri"/>
          <w:sz w:val="24"/>
          <w:szCs w:val="24"/>
        </w:rPr>
        <w:t xml:space="preserve">Preparing competent, ethical, and compassionate physicians dedicated to patient-centred care.</w:t>
      </w:r>
    </w:p>
    <w:p>
      <w:pPr>
        <w:pStyle w:val="ListParagraph"/>
        <w:numPr>
          <w:ilvl w:val="0"/>
          <w:numId w:val="2"/>
        </w:numPr>
        <w:spacing w:after="40"/>
      </w:pPr>
      <w:r>
        <w:rPr>
          <w:rFonts w:ascii="Calibri" w:cs="Calibri" w:eastAsia="Calibri" w:hAnsi="Calibri"/>
          <w:sz w:val="24"/>
          <w:szCs w:val="24"/>
        </w:rPr>
        <w:t xml:space="preserve">Advancing medical research that addresses the health challenges of the Iraqi community.</w:t>
      </w:r>
    </w:p>
    <w:p>
      <w:pPr>
        <w:pStyle w:val="ListParagraph"/>
        <w:numPr>
          <w:ilvl w:val="0"/>
          <w:numId w:val="2"/>
        </w:numPr>
        <w:spacing w:after="40"/>
      </w:pPr>
      <w:r>
        <w:rPr>
          <w:rFonts w:ascii="Calibri" w:cs="Calibri" w:eastAsia="Calibri" w:hAnsi="Calibri"/>
          <w:sz w:val="24"/>
          <w:szCs w:val="24"/>
        </w:rPr>
        <w:t xml:space="preserve">Promoting community health through outreach, screening, and health-education programmes.</w:t>
      </w:r>
    </w:p>
    <w:p>
      <w:pPr>
        <w:pStyle w:val="ListParagraph"/>
        <w:numPr>
          <w:ilvl w:val="0"/>
          <w:numId w:val="2"/>
        </w:numPr>
        <w:spacing w:after="40"/>
      </w:pPr>
      <w:r>
        <w:rPr>
          <w:rFonts w:ascii="Calibri" w:cs="Calibri" w:eastAsia="Calibri" w:hAnsi="Calibri"/>
          <w:sz w:val="24"/>
          <w:szCs w:val="24"/>
        </w:rPr>
        <w:t xml:space="preserve">Strengthening partnerships with teaching hospitals and health institutions to enhance clinical training and career opportunities.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Innovation</w:t>
      </w:r>
    </w:p>
    <w:p>
      <w:pPr>
        <w:pStyle w:val="ListParagraph"/>
        <w:numPr>
          <w:ilvl w:val="0"/>
          <w:numId w:val="2"/>
        </w:numPr>
        <w:spacing w:after="40"/>
      </w:pPr>
      <w:r>
        <w:rPr>
          <w:rFonts w:ascii="Calibri" w:cs="Calibri" w:eastAsia="Calibri" w:hAnsi="Calibri"/>
          <w:sz w:val="24"/>
          <w:szCs w:val="24"/>
        </w:rPr>
        <w:t xml:space="preserve">Deliver an integrated, evidence-based medical curriculum aligned with national and international medical education standards.</w:t>
      </w:r>
    </w:p>
    <w:p>
      <w:pPr>
        <w:pStyle w:val="ListParagraph"/>
        <w:numPr>
          <w:ilvl w:val="0"/>
          <w:numId w:val="2"/>
        </w:numPr>
        <w:spacing w:after="40"/>
      </w:pPr>
      <w:r>
        <w:rPr>
          <w:rFonts w:ascii="Calibri" w:cs="Calibri" w:eastAsia="Calibri" w:hAnsi="Calibri"/>
          <w:sz w:val="24"/>
          <w:szCs w:val="24"/>
        </w:rPr>
        <w:t xml:space="preserve">Adopt modern teaching methods including problem-based learning and clinical simulation.</w:t>
      </w:r>
    </w:p>
    <w:p>
      <w:pPr>
        <w:pStyle w:val="ListParagraph"/>
        <w:numPr>
          <w:ilvl w:val="0"/>
          <w:numId w:val="2"/>
        </w:numPr>
        <w:spacing w:after="40"/>
      </w:pPr>
      <w:r>
        <w:rPr>
          <w:rFonts w:ascii="Calibri" w:cs="Calibri" w:eastAsia="Calibri" w:hAnsi="Calibri"/>
          <w:sz w:val="24"/>
          <w:szCs w:val="24"/>
        </w:rPr>
        <w:t xml:space="preserve">Foster clinical reasoning, scientific thinking, and self-directed learning throughout the six-year programme.</w:t>
      </w:r>
    </w:p>
    <w:p>
      <w:pPr>
        <w:spacing w:after="40" w:before="120"/>
      </w:pPr>
      <w:r>
        <w:rPr>
          <w:rFonts w:ascii="Calibri" w:cs="Calibri" w:eastAsia="Calibri" w:hAnsi="Calibri"/>
          <w:b/>
          <w:bCs/>
          <w:color w:val="9A3318"/>
          <w:sz w:val="24"/>
          <w:szCs w:val="24"/>
        </w:rPr>
        <w:t xml:space="preserve">✅ 2. Clinical Training and Practical Experience</w:t>
      </w:r>
    </w:p>
    <w:p>
      <w:pPr>
        <w:pStyle w:val="ListParagraph"/>
        <w:numPr>
          <w:ilvl w:val="0"/>
          <w:numId w:val="2"/>
        </w:numPr>
        <w:spacing w:after="40"/>
      </w:pPr>
      <w:r>
        <w:rPr>
          <w:rFonts w:ascii="Calibri" w:cs="Calibri" w:eastAsia="Calibri" w:hAnsi="Calibri"/>
          <w:sz w:val="24"/>
          <w:szCs w:val="24"/>
        </w:rPr>
        <w:t xml:space="preserve">Provide extensive clinical rotations in teaching hospitals across the major medical specialties.</w:t>
      </w:r>
    </w:p>
    <w:p>
      <w:pPr>
        <w:pStyle w:val="ListParagraph"/>
        <w:numPr>
          <w:ilvl w:val="0"/>
          <w:numId w:val="2"/>
        </w:numPr>
        <w:spacing w:after="40"/>
      </w:pPr>
      <w:r>
        <w:rPr>
          <w:rFonts w:ascii="Calibri" w:cs="Calibri" w:eastAsia="Calibri" w:hAnsi="Calibri"/>
          <w:sz w:val="24"/>
          <w:szCs w:val="24"/>
        </w:rPr>
        <w:t xml:space="preserve">Develop clinical-skills and simulation laboratories for safe, structured skills acquisition.</w:t>
      </w:r>
    </w:p>
    <w:p>
      <w:pPr>
        <w:pStyle w:val="ListParagraph"/>
        <w:numPr>
          <w:ilvl w:val="0"/>
          <w:numId w:val="2"/>
        </w:numPr>
        <w:spacing w:after="40"/>
      </w:pPr>
      <w:r>
        <w:rPr>
          <w:rFonts w:ascii="Calibri" w:cs="Calibri" w:eastAsia="Calibri" w:hAnsi="Calibri"/>
          <w:sz w:val="24"/>
          <w:szCs w:val="24"/>
        </w:rPr>
        <w:t xml:space="preserve">Expand community-based and primary-care training in Nineveh Governorate.</w:t>
      </w:r>
    </w:p>
    <w:p>
      <w:pPr>
        <w:spacing w:after="40" w:before="120"/>
      </w:pPr>
      <w:r>
        <w:rPr>
          <w:rFonts w:ascii="Calibri" w:cs="Calibri" w:eastAsia="Calibri" w:hAnsi="Calibri"/>
          <w:b/>
          <w:bCs/>
          <w:color w:val="9A3318"/>
          <w:sz w:val="24"/>
          <w:szCs w:val="24"/>
        </w:rPr>
        <w:t xml:space="preserve">✅ 3. Research and Scientific Advancement</w:t>
      </w:r>
    </w:p>
    <w:p>
      <w:pPr>
        <w:pStyle w:val="ListParagraph"/>
        <w:numPr>
          <w:ilvl w:val="0"/>
          <w:numId w:val="2"/>
        </w:numPr>
        <w:spacing w:after="40"/>
      </w:pPr>
      <w:r>
        <w:rPr>
          <w:rFonts w:ascii="Calibri" w:cs="Calibri" w:eastAsia="Calibri" w:hAnsi="Calibri"/>
          <w:sz w:val="24"/>
          <w:szCs w:val="24"/>
        </w:rPr>
        <w:t xml:space="preserve">Promote faculty and student-led research on diseases prevalent in Mosul and Iraq.</w:t>
      </w:r>
    </w:p>
    <w:p>
      <w:pPr>
        <w:pStyle w:val="ListParagraph"/>
        <w:numPr>
          <w:ilvl w:val="0"/>
          <w:numId w:val="2"/>
        </w:numPr>
        <w:spacing w:after="40"/>
      </w:pPr>
      <w:r>
        <w:rPr>
          <w:rFonts w:ascii="Calibri" w:cs="Calibri" w:eastAsia="Calibri" w:hAnsi="Calibri"/>
          <w:sz w:val="24"/>
          <w:szCs w:val="24"/>
        </w:rPr>
        <w:t xml:space="preserve">Support publication of medical research in peer-reviewed journals.</w:t>
      </w:r>
    </w:p>
    <w:p>
      <w:pPr>
        <w:pStyle w:val="ListParagraph"/>
        <w:numPr>
          <w:ilvl w:val="0"/>
          <w:numId w:val="2"/>
        </w:numPr>
        <w:spacing w:after="40"/>
      </w:pPr>
      <w:r>
        <w:rPr>
          <w:rFonts w:ascii="Calibri" w:cs="Calibri" w:eastAsia="Calibri" w:hAnsi="Calibri"/>
          <w:sz w:val="24"/>
          <w:szCs w:val="24"/>
        </w:rPr>
        <w:t xml:space="preserve">Establish research partnerships with hospitals and international medical institutions.</w:t>
      </w:r>
    </w:p>
    <w:p>
      <w:pPr>
        <w:spacing w:after="40" w:before="120"/>
      </w:pPr>
      <w:r>
        <w:rPr>
          <w:rFonts w:ascii="Calibri" w:cs="Calibri" w:eastAsia="Calibri" w:hAnsi="Calibri"/>
          <w:b/>
          <w:bCs/>
          <w:color w:val="9A3318"/>
          <w:sz w:val="24"/>
          <w:szCs w:val="24"/>
        </w:rPr>
        <w:t xml:space="preserve">✅ 4. Community Engagement and Healthcare Impact</w:t>
      </w:r>
    </w:p>
    <w:p>
      <w:pPr>
        <w:pStyle w:val="ListParagraph"/>
        <w:numPr>
          <w:ilvl w:val="0"/>
          <w:numId w:val="2"/>
        </w:numPr>
        <w:spacing w:after="40"/>
      </w:pPr>
      <w:r>
        <w:rPr>
          <w:rFonts w:ascii="Calibri" w:cs="Calibri" w:eastAsia="Calibri" w:hAnsi="Calibri"/>
          <w:sz w:val="24"/>
          <w:szCs w:val="24"/>
        </w:rPr>
        <w:t xml:space="preserve">Organize health awareness campaigns, screening programmes, and free medical consultations.</w:t>
      </w:r>
    </w:p>
    <w:p>
      <w:pPr>
        <w:pStyle w:val="ListParagraph"/>
        <w:numPr>
          <w:ilvl w:val="0"/>
          <w:numId w:val="2"/>
        </w:numPr>
        <w:spacing w:after="40"/>
      </w:pPr>
      <w:r>
        <w:rPr>
          <w:rFonts w:ascii="Calibri" w:cs="Calibri" w:eastAsia="Calibri" w:hAnsi="Calibri"/>
          <w:sz w:val="24"/>
          <w:szCs w:val="24"/>
        </w:rPr>
        <w:t xml:space="preserve">Address the public-health priorities of Nineveh through community-based initiatives.</w:t>
      </w:r>
    </w:p>
    <w:p>
      <w:pPr>
        <w:pStyle w:val="ListParagraph"/>
        <w:numPr>
          <w:ilvl w:val="0"/>
          <w:numId w:val="2"/>
        </w:numPr>
        <w:spacing w:after="40"/>
      </w:pPr>
      <w:r>
        <w:rPr>
          <w:rFonts w:ascii="Calibri" w:cs="Calibri" w:eastAsia="Calibri" w:hAnsi="Calibri"/>
          <w:sz w:val="24"/>
          <w:szCs w:val="24"/>
        </w:rPr>
        <w:t xml:space="preserve">Collaborate with health authorities and organizations to strengthen local healthcare capacity.</w:t>
      </w:r>
    </w:p>
    <w:p>
      <w:pPr>
        <w:spacing w:after="40" w:before="120"/>
      </w:pPr>
      <w:r>
        <w:rPr>
          <w:rFonts w:ascii="Calibri" w:cs="Calibri" w:eastAsia="Calibri" w:hAnsi="Calibri"/>
          <w:b/>
          <w:bCs/>
          <w:color w:val="9A3318"/>
          <w:sz w:val="24"/>
          <w:szCs w:val="24"/>
        </w:rPr>
        <w:t xml:space="preserve">✅ 5. Student Success and Career Development</w:t>
      </w:r>
    </w:p>
    <w:p>
      <w:pPr>
        <w:pStyle w:val="ListParagraph"/>
        <w:numPr>
          <w:ilvl w:val="0"/>
          <w:numId w:val="2"/>
        </w:numPr>
        <w:spacing w:after="40"/>
      </w:pPr>
      <w:r>
        <w:rPr>
          <w:rFonts w:ascii="Calibri" w:cs="Calibri" w:eastAsia="Calibri" w:hAnsi="Calibri"/>
          <w:sz w:val="24"/>
          <w:szCs w:val="24"/>
        </w:rPr>
        <w:t xml:space="preserve">Provide academic mentorship and preparation for national examinations and residency training.</w:t>
      </w:r>
    </w:p>
    <w:p>
      <w:pPr>
        <w:pStyle w:val="ListParagraph"/>
        <w:numPr>
          <w:ilvl w:val="0"/>
          <w:numId w:val="2"/>
        </w:numPr>
        <w:spacing w:after="40"/>
      </w:pPr>
      <w:r>
        <w:rPr>
          <w:rFonts w:ascii="Calibri" w:cs="Calibri" w:eastAsia="Calibri" w:hAnsi="Calibri"/>
          <w:sz w:val="24"/>
          <w:szCs w:val="24"/>
        </w:rPr>
        <w:t xml:space="preserve">Strengthen career guidance toward clinical, academic, and research pathways.</w:t>
      </w:r>
    </w:p>
    <w:p>
      <w:pPr>
        <w:pStyle w:val="ListParagraph"/>
        <w:numPr>
          <w:ilvl w:val="0"/>
          <w:numId w:val="2"/>
        </w:numPr>
        <w:spacing w:after="40"/>
      </w:pPr>
      <w:r>
        <w:rPr>
          <w:rFonts w:ascii="Calibri" w:cs="Calibri" w:eastAsia="Calibri" w:hAnsi="Calibri"/>
          <w:sz w:val="24"/>
          <w:szCs w:val="24"/>
        </w:rPr>
        <w:t xml:space="preserve">Foster alumni networks to support graduates' professional advancement.</w:t>
      </w:r>
    </w:p>
    <w:p>
      <w:pPr>
        <w:spacing w:after="40" w:before="120"/>
      </w:pPr>
      <w:r>
        <w:rPr>
          <w:rFonts w:ascii="Calibri" w:cs="Calibri" w:eastAsia="Calibri" w:hAnsi="Calibri"/>
          <w:b/>
          <w:bCs/>
          <w:color w:val="9A3318"/>
          <w:sz w:val="24"/>
          <w:szCs w:val="24"/>
        </w:rPr>
        <w:t xml:space="preserve">✅ 6. Quality Assurance and Accreditation</w:t>
      </w:r>
    </w:p>
    <w:p>
      <w:pPr>
        <w:pStyle w:val="ListParagraph"/>
        <w:numPr>
          <w:ilvl w:val="0"/>
          <w:numId w:val="2"/>
        </w:numPr>
        <w:spacing w:after="40"/>
      </w:pPr>
      <w:r>
        <w:rPr>
          <w:rFonts w:ascii="Calibri" w:cs="Calibri" w:eastAsia="Calibri" w:hAnsi="Calibri"/>
          <w:sz w:val="24"/>
          <w:szCs w:val="24"/>
        </w:rPr>
        <w:t xml:space="preserve">Ensure compliance with MoHESR standards and the requirements of the National Council for Accreditation of Medical Colleges (NCAMC).</w:t>
      </w:r>
    </w:p>
    <w:p>
      <w:pPr>
        <w:pStyle w:val="ListParagraph"/>
        <w:numPr>
          <w:ilvl w:val="0"/>
          <w:numId w:val="2"/>
        </w:numPr>
        <w:spacing w:after="40"/>
      </w:pPr>
      <w:r>
        <w:rPr>
          <w:rFonts w:ascii="Calibri" w:cs="Calibri" w:eastAsia="Calibri" w:hAnsi="Calibri"/>
          <w:sz w:val="24"/>
          <w:szCs w:val="24"/>
        </w:rPr>
        <w:t xml:space="preserve">Pursue recognition aligned with World Federation for Medical Education (WFME) standards.</w:t>
      </w:r>
    </w:p>
    <w:p>
      <w:pPr>
        <w:pStyle w:val="ListParagraph"/>
        <w:numPr>
          <w:ilvl w:val="0"/>
          <w:numId w:val="2"/>
        </w:numPr>
        <w:spacing w:after="40"/>
      </w:pPr>
      <w:r>
        <w:rPr>
          <w:rFonts w:ascii="Calibri" w:cs="Calibri" w:eastAsia="Calibri" w:hAnsi="Calibri"/>
          <w:sz w:val="24"/>
          <w:szCs w:val="24"/>
        </w:rPr>
        <w:t xml:space="preserve">Implement continuous quality improvement in teaching, clinical training, and assessment.</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planetary health, climate medicine, and green hospital practice into the curriculum.</w:t>
      </w:r>
    </w:p>
    <w:p>
      <w:pPr>
        <w:pStyle w:val="ListParagraph"/>
        <w:numPr>
          <w:ilvl w:val="0"/>
          <w:numId w:val="2"/>
        </w:numPr>
        <w:spacing w:after="40"/>
      </w:pPr>
      <w:r>
        <w:rPr>
          <w:rFonts w:ascii="Calibri" w:cs="Calibri" w:eastAsia="Calibri" w:hAnsi="Calibri"/>
          <w:sz w:val="24"/>
          <w:szCs w:val="24"/>
        </w:rPr>
        <w:t xml:space="preserve">Embed AI-assisted diagnosis and clinical decision-support tools in medical training.</w:t>
      </w:r>
    </w:p>
    <w:p>
      <w:pPr>
        <w:pStyle w:val="ListParagraph"/>
        <w:numPr>
          <w:ilvl w:val="0"/>
          <w:numId w:val="2"/>
        </w:numPr>
        <w:spacing w:after="40"/>
      </w:pPr>
      <w:r>
        <w:rPr>
          <w:rFonts w:ascii="Calibri" w:cs="Calibri" w:eastAsia="Calibri" w:hAnsi="Calibri"/>
          <w:sz w:val="24"/>
          <w:szCs w:val="24"/>
        </w:rPr>
        <w:t xml:space="preserve">Promote environmental health research and SDG-aligned community medicine in Nineveh.</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Medicine programme define the clinical knowledge, procedural skills, and professional values expected of every graduating physician. The programme is delivered through the Iraqi academic teaching system of MoHESR over six years, with outcomes formulated in a measurable, outcome-based manner consistent with the Iraq National Qualifications Framework and international medical education standards, addressing the healthcare needs and disease patterns of the community of Mosul and Iraq.</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Apply integrated knowledge of the biomedical, clinical, behavioural, and social sciences to the practice of medicine.</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Perform clinical assessment, diagnosis, and management of common and emergency medical conditions, including diseases prevalent in the community of Mosul and Iraq.</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Perform essential clinical and procedural skills safely and use diagnostic investigations rationally and cost-effectively.</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Promote health and disease prevention through community-based programmes addressing the public-health priorities of Nineveh Governorate.</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compassion, and effective teamwork within interprofessional healthcare teams, with a commitment to evidence-based practice and lifelong learning.</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applications in medical diagnosis, imaging, and clinical decision support.</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green healthcare and planetary-health principles in clinical practice and hospital operations.</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clinical and epidemiological data to support evidence-based and preventive medicine.</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Address climate-related and environmental health challenges affecting the Iraqi population.</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sustainable health systems and contribute to the SDGs through medical practice.</w:t>
      </w:r>
    </w:p>
    <w:p>
      <w:pPr>
        <w:pStyle w:val="Heading1"/>
        <w:pageBreakBefore/>
      </w:pPr>
      <w:r>
        <w:rPr>
          <w:rFonts w:ascii="Calibri" w:cs="Calibri" w:eastAsia="Calibri" w:hAnsi="Calibri"/>
        </w:rPr>
        <w:t xml:space="preserve">13. College of Fine Arts (CFAR)</w:t>
      </w:r>
    </w:p>
    <w:p>
      <w:pPr>
        <w:pStyle w:val="Heading2"/>
        <w:spacing w:before="240"/>
      </w:pPr>
      <w:r>
        <w:rPr>
          <w:rFonts w:ascii="Calibri" w:cs="Calibri" w:eastAsia="Calibri" w:hAnsi="Calibri"/>
        </w:rPr>
        <w:t xml:space="preserve">Department of Interior Design (DIND)</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Interior Design programme as offered by Al-Hadba University under the supervision of the Ministry of Higher Education and Scientific Research (MoHESR). The programme leads to the award of Bachelor of Fine Arts (B.F.A.) in Interior Design after 4 academic years of full-time study, and is delivered through the Bologna Process, with a two-semester structure, 240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Fine Arts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Interior Design</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DIND</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AHU22100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Fine Arts (B.F.A.) in Interior Design</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240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English</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interior design education, recognized for producing creative, technically proficient designers who shape functional, sustainable, and culturally rooted interior environments and contribute to the reconstruction of Mosul and Iraq's urban renaissance.</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Interior Design at AHU is committed to:</w:t>
      </w:r>
    </w:p>
    <w:p>
      <w:pPr>
        <w:pStyle w:val="ListParagraph"/>
        <w:numPr>
          <w:ilvl w:val="0"/>
          <w:numId w:val="2"/>
        </w:numPr>
        <w:spacing w:after="40"/>
      </w:pPr>
      <w:r>
        <w:rPr>
          <w:rFonts w:ascii="Calibri" w:cs="Calibri" w:eastAsia="Calibri" w:hAnsi="Calibri"/>
          <w:sz w:val="24"/>
          <w:szCs w:val="24"/>
        </w:rPr>
        <w:t xml:space="preserve">Delivering high-quality design education that integrates creativity with technical and scientific rigour.</w:t>
      </w:r>
    </w:p>
    <w:p>
      <w:pPr>
        <w:pStyle w:val="ListParagraph"/>
        <w:numPr>
          <w:ilvl w:val="0"/>
          <w:numId w:val="2"/>
        </w:numPr>
        <w:spacing w:after="40"/>
      </w:pPr>
      <w:r>
        <w:rPr>
          <w:rFonts w:ascii="Calibri" w:cs="Calibri" w:eastAsia="Calibri" w:hAnsi="Calibri"/>
          <w:sz w:val="24"/>
          <w:szCs w:val="24"/>
        </w:rPr>
        <w:t xml:space="preserve">Preparing skilled designers for residential, commercial, institutional, and heritage contexts.</w:t>
      </w:r>
    </w:p>
    <w:p>
      <w:pPr>
        <w:pStyle w:val="ListParagraph"/>
        <w:numPr>
          <w:ilvl w:val="0"/>
          <w:numId w:val="2"/>
        </w:numPr>
        <w:spacing w:after="40"/>
      </w:pPr>
      <w:r>
        <w:rPr>
          <w:rFonts w:ascii="Calibri" w:cs="Calibri" w:eastAsia="Calibri" w:hAnsi="Calibri"/>
          <w:sz w:val="24"/>
          <w:szCs w:val="24"/>
        </w:rPr>
        <w:t xml:space="preserve">Advancing research in sustainable, human-centred interior environments.</w:t>
      </w:r>
    </w:p>
    <w:p>
      <w:pPr>
        <w:pStyle w:val="ListParagraph"/>
        <w:numPr>
          <w:ilvl w:val="0"/>
          <w:numId w:val="2"/>
        </w:numPr>
        <w:spacing w:after="40"/>
      </w:pPr>
      <w:r>
        <w:rPr>
          <w:rFonts w:ascii="Calibri" w:cs="Calibri" w:eastAsia="Calibri" w:hAnsi="Calibri"/>
          <w:sz w:val="24"/>
          <w:szCs w:val="24"/>
        </w:rPr>
        <w:t xml:space="preserve">Serving the community through design consultancy supporting the reconstruction of Mosul.</w:t>
      </w:r>
    </w:p>
    <w:p>
      <w:pPr>
        <w:pStyle w:val="ListParagraph"/>
        <w:numPr>
          <w:ilvl w:val="0"/>
          <w:numId w:val="2"/>
        </w:numPr>
        <w:spacing w:after="40"/>
      </w:pPr>
      <w:r>
        <w:rPr>
          <w:rFonts w:ascii="Calibri" w:cs="Calibri" w:eastAsia="Calibri" w:hAnsi="Calibri"/>
          <w:sz w:val="24"/>
          <w:szCs w:val="24"/>
        </w:rPr>
        <w:t xml:space="preserve">Strengthening partnerships with design firms, furniture manufacturers, and the construction sector.</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Development</w:t>
      </w:r>
    </w:p>
    <w:p>
      <w:pPr>
        <w:pStyle w:val="ListParagraph"/>
        <w:numPr>
          <w:ilvl w:val="0"/>
          <w:numId w:val="2"/>
        </w:numPr>
        <w:spacing w:after="40"/>
      </w:pPr>
      <w:r>
        <w:rPr>
          <w:rFonts w:ascii="Calibri" w:cs="Calibri" w:eastAsia="Calibri" w:hAnsi="Calibri"/>
          <w:sz w:val="24"/>
          <w:szCs w:val="24"/>
        </w:rPr>
        <w:t xml:space="preserve">Deliver modern programmes through design studios covering materials, lighting, furniture design, and ergonomics.</w:t>
      </w:r>
    </w:p>
    <w:p>
      <w:pPr>
        <w:pStyle w:val="ListParagraph"/>
        <w:numPr>
          <w:ilvl w:val="0"/>
          <w:numId w:val="2"/>
        </w:numPr>
        <w:spacing w:after="40"/>
      </w:pPr>
      <w:r>
        <w:rPr>
          <w:rFonts w:ascii="Calibri" w:cs="Calibri" w:eastAsia="Calibri" w:hAnsi="Calibri"/>
          <w:sz w:val="24"/>
          <w:szCs w:val="24"/>
        </w:rPr>
        <w:t xml:space="preserve">Incorporate sustainability, universal design, and heritage-sensitive practice into curricula.</w:t>
      </w:r>
    </w:p>
    <w:p>
      <w:pPr>
        <w:pStyle w:val="ListParagraph"/>
        <w:numPr>
          <w:ilvl w:val="0"/>
          <w:numId w:val="2"/>
        </w:numPr>
        <w:spacing w:after="40"/>
      </w:pPr>
      <w:r>
        <w:rPr>
          <w:rFonts w:ascii="Calibri" w:cs="Calibri" w:eastAsia="Calibri" w:hAnsi="Calibri"/>
          <w:sz w:val="24"/>
          <w:szCs w:val="24"/>
        </w:rPr>
        <w:t xml:space="preserve">Regularly review and update course content to align with international design education standards and MoHESR guidelines.</w:t>
      </w:r>
    </w:p>
    <w:p>
      <w:pPr>
        <w:spacing w:after="40" w:before="120"/>
      </w:pPr>
      <w:r>
        <w:rPr>
          <w:rFonts w:ascii="Calibri" w:cs="Calibri" w:eastAsia="Calibri" w:hAnsi="Calibri"/>
          <w:b/>
          <w:bCs/>
          <w:color w:val="9A3318"/>
          <w:sz w:val="24"/>
          <w:szCs w:val="24"/>
        </w:rPr>
        <w:t xml:space="preserve">✅ 2. Research and Innovation</w:t>
      </w:r>
    </w:p>
    <w:p>
      <w:pPr>
        <w:pStyle w:val="ListParagraph"/>
        <w:numPr>
          <w:ilvl w:val="0"/>
          <w:numId w:val="2"/>
        </w:numPr>
        <w:spacing w:after="40"/>
      </w:pPr>
      <w:r>
        <w:rPr>
          <w:rFonts w:ascii="Calibri" w:cs="Calibri" w:eastAsia="Calibri" w:hAnsi="Calibri"/>
          <w:sz w:val="24"/>
          <w:szCs w:val="24"/>
        </w:rPr>
        <w:t xml:space="preserve">Promote applied research in sustainable materials, heritage interiors, and human-centred design.</w:t>
      </w:r>
    </w:p>
    <w:p>
      <w:pPr>
        <w:pStyle w:val="ListParagraph"/>
        <w:numPr>
          <w:ilvl w:val="0"/>
          <w:numId w:val="2"/>
        </w:numPr>
        <w:spacing w:after="40"/>
      </w:pPr>
      <w:r>
        <w:rPr>
          <w:rFonts w:ascii="Calibri" w:cs="Calibri" w:eastAsia="Calibri" w:hAnsi="Calibri"/>
          <w:sz w:val="24"/>
          <w:szCs w:val="24"/>
        </w:rPr>
        <w:t xml:space="preserve">Support faculty and student-led research addressing the rehabilitation of Mosul's built environment.</w:t>
      </w:r>
    </w:p>
    <w:p>
      <w:pPr>
        <w:pStyle w:val="ListParagraph"/>
        <w:numPr>
          <w:ilvl w:val="0"/>
          <w:numId w:val="2"/>
        </w:numPr>
        <w:spacing w:after="40"/>
      </w:pPr>
      <w:r>
        <w:rPr>
          <w:rFonts w:ascii="Calibri" w:cs="Calibri" w:eastAsia="Calibri" w:hAnsi="Calibri"/>
          <w:sz w:val="24"/>
          <w:szCs w:val="24"/>
        </w:rPr>
        <w:t xml:space="preserve">Encourage publication in reputable design and architecture journals.</w:t>
      </w:r>
    </w:p>
    <w:p>
      <w:pPr>
        <w:spacing w:after="40" w:before="120"/>
      </w:pPr>
      <w:r>
        <w:rPr>
          <w:rFonts w:ascii="Calibri" w:cs="Calibri" w:eastAsia="Calibri" w:hAnsi="Calibri"/>
          <w:b/>
          <w:bCs/>
          <w:color w:val="9A3318"/>
          <w:sz w:val="24"/>
          <w:szCs w:val="24"/>
        </w:rPr>
        <w:t xml:space="preserve">✅ 3. Industry and Community Partnerships</w:t>
      </w:r>
    </w:p>
    <w:p>
      <w:pPr>
        <w:pStyle w:val="ListParagraph"/>
        <w:numPr>
          <w:ilvl w:val="0"/>
          <w:numId w:val="2"/>
        </w:numPr>
        <w:spacing w:after="40"/>
      </w:pPr>
      <w:r>
        <w:rPr>
          <w:rFonts w:ascii="Calibri" w:cs="Calibri" w:eastAsia="Calibri" w:hAnsi="Calibri"/>
          <w:sz w:val="24"/>
          <w:szCs w:val="24"/>
        </w:rPr>
        <w:t xml:space="preserve">Strengthen collaboration with design offices, furniture manufacturers, and reconstruction projects.</w:t>
      </w:r>
    </w:p>
    <w:p>
      <w:pPr>
        <w:pStyle w:val="ListParagraph"/>
        <w:numPr>
          <w:ilvl w:val="0"/>
          <w:numId w:val="2"/>
        </w:numPr>
        <w:spacing w:after="40"/>
      </w:pPr>
      <w:r>
        <w:rPr>
          <w:rFonts w:ascii="Calibri" w:cs="Calibri" w:eastAsia="Calibri" w:hAnsi="Calibri"/>
          <w:sz w:val="24"/>
          <w:szCs w:val="24"/>
        </w:rPr>
        <w:t xml:space="preserve">Develop industry-relevant internships and participation in real design and rehabilitation projects.</w:t>
      </w:r>
    </w:p>
    <w:p>
      <w:pPr>
        <w:pStyle w:val="ListParagraph"/>
        <w:numPr>
          <w:ilvl w:val="0"/>
          <w:numId w:val="2"/>
        </w:numPr>
        <w:spacing w:after="40"/>
      </w:pPr>
      <w:r>
        <w:rPr>
          <w:rFonts w:ascii="Calibri" w:cs="Calibri" w:eastAsia="Calibri" w:hAnsi="Calibri"/>
          <w:sz w:val="24"/>
          <w:szCs w:val="24"/>
        </w:rPr>
        <w:t xml:space="preserve">Enhance community outreach through interior design consultancy services.</w:t>
      </w:r>
    </w:p>
    <w:p>
      <w:pPr>
        <w:spacing w:after="40" w:before="120"/>
      </w:pPr>
      <w:r>
        <w:rPr>
          <w:rFonts w:ascii="Calibri" w:cs="Calibri" w:eastAsia="Calibri" w:hAnsi="Calibri"/>
          <w:b/>
          <w:bCs/>
          <w:color w:val="9A3318"/>
          <w:sz w:val="24"/>
          <w:szCs w:val="24"/>
        </w:rPr>
        <w:t xml:space="preserve">✅ 4. Student Success and Employability</w:t>
      </w:r>
    </w:p>
    <w:p>
      <w:pPr>
        <w:pStyle w:val="ListParagraph"/>
        <w:numPr>
          <w:ilvl w:val="0"/>
          <w:numId w:val="2"/>
        </w:numPr>
        <w:spacing w:after="40"/>
      </w:pPr>
      <w:r>
        <w:rPr>
          <w:rFonts w:ascii="Calibri" w:cs="Calibri" w:eastAsia="Calibri" w:hAnsi="Calibri"/>
          <w:sz w:val="24"/>
          <w:szCs w:val="24"/>
        </w:rPr>
        <w:t xml:space="preserve">Expand career services, offering mentoring, design competitions, and portfolio development.</w:t>
      </w:r>
    </w:p>
    <w:p>
      <w:pPr>
        <w:pStyle w:val="ListParagraph"/>
        <w:numPr>
          <w:ilvl w:val="0"/>
          <w:numId w:val="2"/>
        </w:numPr>
        <w:spacing w:after="40"/>
      </w:pPr>
      <w:r>
        <w:rPr>
          <w:rFonts w:ascii="Calibri" w:cs="Calibri" w:eastAsia="Calibri" w:hAnsi="Calibri"/>
          <w:sz w:val="24"/>
          <w:szCs w:val="24"/>
        </w:rPr>
        <w:t xml:space="preserve">Develop workshops and certification programmes in AutoCAD, Revit, 3ds Max, and visualization tools.</w:t>
      </w:r>
    </w:p>
    <w:p>
      <w:pPr>
        <w:pStyle w:val="ListParagraph"/>
        <w:numPr>
          <w:ilvl w:val="0"/>
          <w:numId w:val="2"/>
        </w:numPr>
        <w:spacing w:after="40"/>
      </w:pPr>
      <w:r>
        <w:rPr>
          <w:rFonts w:ascii="Calibri" w:cs="Calibri" w:eastAsia="Calibri" w:hAnsi="Calibri"/>
          <w:sz w:val="24"/>
          <w:szCs w:val="24"/>
        </w:rPr>
        <w:t xml:space="preserve">Foster alumni networks to support career growth and mentorship.</w:t>
      </w:r>
    </w:p>
    <w:p>
      <w:pPr>
        <w:spacing w:after="40" w:before="120"/>
      </w:pPr>
      <w:r>
        <w:rPr>
          <w:rFonts w:ascii="Calibri" w:cs="Calibri" w:eastAsia="Calibri" w:hAnsi="Calibri"/>
          <w:b/>
          <w:bCs/>
          <w:color w:val="9A3318"/>
          <w:sz w:val="24"/>
          <w:szCs w:val="24"/>
        </w:rPr>
        <w:t xml:space="preserve">✅ 5. Digital Transformation</w:t>
      </w:r>
    </w:p>
    <w:p>
      <w:pPr>
        <w:pStyle w:val="ListParagraph"/>
        <w:numPr>
          <w:ilvl w:val="0"/>
          <w:numId w:val="2"/>
        </w:numPr>
        <w:spacing w:after="40"/>
      </w:pPr>
      <w:r>
        <w:rPr>
          <w:rFonts w:ascii="Calibri" w:cs="Calibri" w:eastAsia="Calibri" w:hAnsi="Calibri"/>
          <w:sz w:val="24"/>
          <w:szCs w:val="24"/>
        </w:rPr>
        <w:t xml:space="preserve">Integrate BIM, 3D modelling, rendering, and virtual walkthroughs into learning processes.</w:t>
      </w:r>
    </w:p>
    <w:p>
      <w:pPr>
        <w:pStyle w:val="ListParagraph"/>
        <w:numPr>
          <w:ilvl w:val="0"/>
          <w:numId w:val="2"/>
        </w:numPr>
        <w:spacing w:after="40"/>
      </w:pPr>
      <w:r>
        <w:rPr>
          <w:rFonts w:ascii="Calibri" w:cs="Calibri" w:eastAsia="Calibri" w:hAnsi="Calibri"/>
          <w:sz w:val="24"/>
          <w:szCs w:val="24"/>
        </w:rPr>
        <w:t xml:space="preserve">Utilize digital fabrication and visualization tools to enhance design quality.</w:t>
      </w:r>
    </w:p>
    <w:p>
      <w:pPr>
        <w:pStyle w:val="ListParagraph"/>
        <w:numPr>
          <w:ilvl w:val="0"/>
          <w:numId w:val="2"/>
        </w:numPr>
        <w:spacing w:after="40"/>
      </w:pPr>
      <w:r>
        <w:rPr>
          <w:rFonts w:ascii="Calibri" w:cs="Calibri" w:eastAsia="Calibri" w:hAnsi="Calibri"/>
          <w:sz w:val="24"/>
          <w:szCs w:val="24"/>
        </w:rPr>
        <w:t xml:space="preserve">Offer blended and online learning options to increase accessibility.</w:t>
      </w:r>
    </w:p>
    <w:p>
      <w:pPr>
        <w:spacing w:after="40" w:before="120"/>
      </w:pPr>
      <w:r>
        <w:rPr>
          <w:rFonts w:ascii="Calibri" w:cs="Calibri" w:eastAsia="Calibri" w:hAnsi="Calibri"/>
          <w:b/>
          <w:bCs/>
          <w:color w:val="9A3318"/>
          <w:sz w:val="24"/>
          <w:szCs w:val="24"/>
        </w:rPr>
        <w:t xml:space="preserve">✅ 6.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Embed sustainable materials, healthy interiors, and energy-efficient design in the curriculum.</w:t>
      </w:r>
    </w:p>
    <w:p>
      <w:pPr>
        <w:pStyle w:val="ListParagraph"/>
        <w:numPr>
          <w:ilvl w:val="0"/>
          <w:numId w:val="2"/>
        </w:numPr>
        <w:spacing w:after="40"/>
      </w:pPr>
      <w:r>
        <w:rPr>
          <w:rFonts w:ascii="Calibri" w:cs="Calibri" w:eastAsia="Calibri" w:hAnsi="Calibri"/>
          <w:sz w:val="24"/>
          <w:szCs w:val="24"/>
        </w:rPr>
        <w:t xml:space="preserve">Integrate AI-assisted visualization and generative design tools into studios.</w:t>
      </w:r>
    </w:p>
    <w:p>
      <w:pPr>
        <w:pStyle w:val="ListParagraph"/>
        <w:numPr>
          <w:ilvl w:val="0"/>
          <w:numId w:val="2"/>
        </w:numPr>
        <w:spacing w:after="40"/>
      </w:pPr>
      <w:r>
        <w:rPr>
          <w:rFonts w:ascii="Calibri" w:cs="Calibri" w:eastAsia="Calibri" w:hAnsi="Calibri"/>
          <w:sz w:val="24"/>
          <w:szCs w:val="24"/>
        </w:rPr>
        <w:t xml:space="preserve">Promote green interior solutions in Mosul's reconstruction and community projects.</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Interior Design programme define the creative, technical, and professional capabilities of its graduates. Developed in line with the outcome-based approach of the Bologna Process and the Iraq National Qualifications Framework, they respond to the demand created by the reconstruction of Mosul for designers who can rehabilitate heritage interiors and shape functional, culturally rooted living and working environments.</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Create interior design solutions that integrate function, aesthetics, human comfort, and cultural identity.</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Apply knowledge of materials, finishes, lighting, furniture, and building codes in the preparation of design documentation.</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Produce professional drawings and visualizations using CAD, BIM, 3D modelling, and rendering tools.</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Contribute to the rehabilitation of heritage interiors and the reconstruction of residential and public buildings in Mosul while respecting local identity.</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teamwork, and effective client communication, with a commitment to lifelong learning in design practice.</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and generative tools in interior design ideation and visualization.</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Design sustainable interiors applying eco-friendly materials, daylighting, and energy-efficient solutions.</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Analyze occupant comfort and environmental performance data to refine design decisions.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Develop sustainable, culturally rooted interior solutions for Mosul's rehabilitated buildings.</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Promote green living environments and contribute to the SDGs through design practice.</w:t>
      </w:r>
    </w:p>
    <w:p>
      <w:pPr>
        <w:pStyle w:val="Heading2"/>
        <w:spacing w:before="240"/>
      </w:pPr>
      <w:r>
        <w:rPr>
          <w:rFonts w:ascii="Calibri" w:cs="Calibri" w:eastAsia="Calibri" w:hAnsi="Calibri"/>
        </w:rPr>
        <w:t xml:space="preserve">Department of Art Education (DAED)</w:t>
      </w:r>
    </w:p>
    <w:p>
      <w:pPr>
        <w:spacing w:after="60" w:before="160"/>
      </w:pPr>
      <w:r>
        <w:rPr>
          <w:rFonts w:ascii="Calibri" w:cs="Calibri" w:eastAsia="Calibri" w:hAnsi="Calibri"/>
          <w:b/>
          <w:bCs/>
          <w:color w:val="1F3864"/>
          <w:sz w:val="26"/>
          <w:szCs w:val="26"/>
        </w:rPr>
        <w:t xml:space="preserve">📋 Programme Specification: -</w:t>
      </w:r>
    </w:p>
    <w:p>
      <w:pPr>
        <w:spacing w:after="100"/>
      </w:pPr>
      <w:r>
        <w:rPr>
          <w:rFonts w:ascii="Calibri" w:cs="Calibri" w:eastAsia="Calibri" w:hAnsi="Calibri"/>
          <w:sz w:val="24"/>
          <w:szCs w:val="24"/>
        </w:rPr>
        <w:t xml:space="preserve">This section presents the formal specification of the Art Education programme as offered by Al-Hadba University under the supervision of the Ministry of Higher Education and Scientific Research (MoHESR). The programme leads to the award of Bachelor of Fine Arts (B.F.A.) in Art Education after 4 academic years of full-time study, and is delivered through the Bologna Process, with a two-semester structure, 240 ECTS credits, and outcome-based teaching, learning, and assessment. The table below summarizes the key facts that define the programme's identity, structure, and regulatory context, and serves as the reference point for curriculum design, quality assurance, and accreditation review.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spacing w:after="40" w:before="40"/>
            </w:pPr>
            <w:r>
              <w:rPr>
                <w:rFonts w:ascii="Calibri" w:cs="Calibri" w:eastAsia="Calibri" w:hAnsi="Calibri"/>
                <w:b/>
                <w:bCs/>
                <w:sz w:val="22"/>
                <w:szCs w:val="22"/>
              </w:rPr>
              <w:t xml:space="preserve">Awarding Institution</w:t>
            </w:r>
          </w:p>
        </w:tc>
        <w:tc>
          <w:tcPr>
            <w:tcW w:type="dxa" w:w="6126"/>
          </w:tcPr>
          <w:p>
            <w:pPr>
              <w:spacing w:after="40" w:before="40"/>
            </w:pPr>
            <w:r>
              <w:rPr>
                <w:rFonts w:ascii="Calibri" w:cs="Calibri" w:eastAsia="Calibri" w:hAnsi="Calibri"/>
                <w:sz w:val="22"/>
                <w:szCs w:val="22"/>
              </w:rPr>
              <w:t xml:space="preserve">Al-Hadba University (AHU), Mosul, Iraq</w:t>
            </w:r>
          </w:p>
        </w:tc>
      </w:tr>
      <w:tr>
        <w:tc>
          <w:tcPr>
            <w:tcW w:type="dxa" w:w="2900"/>
            <w:shd w:fill="EEF1F7" w:val="clear"/>
          </w:tcPr>
          <w:p>
            <w:pPr>
              <w:spacing w:after="40" w:before="40"/>
            </w:pPr>
            <w:r>
              <w:rPr>
                <w:rFonts w:ascii="Calibri" w:cs="Calibri" w:eastAsia="Calibri" w:hAnsi="Calibri"/>
                <w:b/>
                <w:bCs/>
                <w:sz w:val="22"/>
                <w:szCs w:val="22"/>
              </w:rPr>
              <w:t xml:space="preserve">College</w:t>
            </w:r>
          </w:p>
        </w:tc>
        <w:tc>
          <w:tcPr>
            <w:tcW w:type="dxa" w:w="6126"/>
          </w:tcPr>
          <w:p>
            <w:pPr>
              <w:spacing w:after="40" w:before="40"/>
            </w:pPr>
            <w:r>
              <w:rPr>
                <w:rFonts w:ascii="Calibri" w:cs="Calibri" w:eastAsia="Calibri" w:hAnsi="Calibri"/>
                <w:sz w:val="22"/>
                <w:szCs w:val="22"/>
              </w:rPr>
              <w:t xml:space="preserve">College of Fine Arts</w:t>
            </w:r>
          </w:p>
        </w:tc>
      </w:tr>
      <w:tr>
        <w:tc>
          <w:tcPr>
            <w:tcW w:type="dxa" w:w="2900"/>
            <w:shd w:fill="EEF1F7" w:val="clear"/>
          </w:tcPr>
          <w:p>
            <w:pPr>
              <w:spacing w:after="40" w:before="40"/>
            </w:pPr>
            <w:r>
              <w:rPr>
                <w:rFonts w:ascii="Calibri" w:cs="Calibri" w:eastAsia="Calibri" w:hAnsi="Calibri"/>
                <w:b/>
                <w:bCs/>
                <w:sz w:val="22"/>
                <w:szCs w:val="22"/>
              </w:rPr>
              <w:t xml:space="preserve">Programme Title</w:t>
            </w:r>
          </w:p>
        </w:tc>
        <w:tc>
          <w:tcPr>
            <w:tcW w:type="dxa" w:w="6126"/>
          </w:tcPr>
          <w:p>
            <w:pPr>
              <w:spacing w:after="40" w:before="40"/>
            </w:pPr>
            <w:r>
              <w:rPr>
                <w:rFonts w:ascii="Calibri" w:cs="Calibri" w:eastAsia="Calibri" w:hAnsi="Calibri"/>
                <w:sz w:val="22"/>
                <w:szCs w:val="22"/>
              </w:rPr>
              <w:t xml:space="preserve">Art Education</w:t>
            </w:r>
          </w:p>
        </w:tc>
      </w:tr>
      <w:tr>
        <w:tc>
          <w:tcPr>
            <w:tcW w:type="dxa" w:w="2900"/>
            <w:shd w:fill="EEF1F7" w:val="clear"/>
          </w:tcPr>
          <w:p>
            <w:pPr>
              <w:spacing w:after="40" w:before="40"/>
            </w:pPr>
            <w:r>
              <w:rPr>
                <w:rFonts w:ascii="Calibri" w:cs="Calibri" w:eastAsia="Calibri" w:hAnsi="Calibri"/>
                <w:b/>
                <w:bCs/>
                <w:sz w:val="22"/>
                <w:szCs w:val="22"/>
              </w:rPr>
              <w:t xml:space="preserve">Programme Abbreviation</w:t>
            </w:r>
          </w:p>
        </w:tc>
        <w:tc>
          <w:tcPr>
            <w:tcW w:type="dxa" w:w="6126"/>
          </w:tcPr>
          <w:p>
            <w:pPr>
              <w:spacing w:after="40" w:before="40"/>
            </w:pPr>
            <w:r>
              <w:rPr>
                <w:rFonts w:ascii="Calibri" w:cs="Calibri" w:eastAsia="Calibri" w:hAnsi="Calibri"/>
                <w:sz w:val="22"/>
                <w:szCs w:val="22"/>
              </w:rPr>
              <w:t xml:space="preserve">DAED</w:t>
            </w:r>
          </w:p>
        </w:tc>
      </w:tr>
      <w:tr>
        <w:tc>
          <w:tcPr>
            <w:tcW w:type="dxa" w:w="2900"/>
            <w:shd w:fill="EEF1F7" w:val="clear"/>
          </w:tcPr>
          <w:p>
            <w:pPr>
              <w:spacing w:after="40" w:before="40"/>
            </w:pPr>
            <w:r>
              <w:rPr>
                <w:rFonts w:ascii="Calibri" w:cs="Calibri" w:eastAsia="Calibri" w:hAnsi="Calibri"/>
                <w:b/>
                <w:bCs/>
                <w:sz w:val="22"/>
                <w:szCs w:val="22"/>
              </w:rPr>
              <w:t xml:space="preserve">Programme Code</w:t>
            </w:r>
          </w:p>
        </w:tc>
        <w:tc>
          <w:tcPr>
            <w:tcW w:type="dxa" w:w="6126"/>
          </w:tcPr>
          <w:p>
            <w:pPr>
              <w:spacing w:after="40" w:before="40"/>
            </w:pPr>
            <w:r>
              <w:rPr>
                <w:rFonts w:ascii="Calibri" w:cs="Calibri" w:eastAsia="Calibri" w:hAnsi="Calibri"/>
                <w:sz w:val="22"/>
                <w:szCs w:val="22"/>
              </w:rPr>
              <w:t xml:space="preserve">AHU22200</w:t>
            </w:r>
          </w:p>
        </w:tc>
      </w:tr>
      <w:tr>
        <w:tc>
          <w:tcPr>
            <w:tcW w:type="dxa" w:w="2900"/>
            <w:shd w:fill="EEF1F7" w:val="clear"/>
          </w:tcPr>
          <w:p>
            <w:pPr>
              <w:spacing w:after="40" w:before="40"/>
            </w:pPr>
            <w:r>
              <w:rPr>
                <w:rFonts w:ascii="Calibri" w:cs="Calibri" w:eastAsia="Calibri" w:hAnsi="Calibri"/>
                <w:b/>
                <w:bCs/>
                <w:sz w:val="22"/>
                <w:szCs w:val="22"/>
              </w:rPr>
              <w:t xml:space="preserve">Final Award</w:t>
            </w:r>
          </w:p>
        </w:tc>
        <w:tc>
          <w:tcPr>
            <w:tcW w:type="dxa" w:w="6126"/>
          </w:tcPr>
          <w:p>
            <w:pPr>
              <w:spacing w:after="40" w:before="40"/>
            </w:pPr>
            <w:r>
              <w:rPr>
                <w:rFonts w:ascii="Calibri" w:cs="Calibri" w:eastAsia="Calibri" w:hAnsi="Calibri"/>
                <w:sz w:val="22"/>
                <w:szCs w:val="22"/>
              </w:rPr>
              <w:t xml:space="preserve">Bachelor of Fine Arts (B.F.A.) in Art Education</w:t>
            </w:r>
          </w:p>
        </w:tc>
      </w:tr>
      <w:tr>
        <w:tc>
          <w:tcPr>
            <w:tcW w:type="dxa" w:w="2900"/>
            <w:shd w:fill="EEF1F7" w:val="clear"/>
          </w:tcPr>
          <w:p>
            <w:pPr>
              <w:spacing w:after="40" w:before="40"/>
            </w:pPr>
            <w:r>
              <w:rPr>
                <w:rFonts w:ascii="Calibri" w:cs="Calibri" w:eastAsia="Calibri" w:hAnsi="Calibri"/>
                <w:b/>
                <w:bCs/>
                <w:sz w:val="22"/>
                <w:szCs w:val="22"/>
              </w:rPr>
              <w:t xml:space="preserve">Duration of Study</w:t>
            </w:r>
          </w:p>
        </w:tc>
        <w:tc>
          <w:tcPr>
            <w:tcW w:type="dxa" w:w="6126"/>
          </w:tcPr>
          <w:p>
            <w:pPr>
              <w:spacing w:after="40" w:before="40"/>
            </w:pPr>
            <w:r>
              <w:rPr>
                <w:rFonts w:ascii="Calibri" w:cs="Calibri" w:eastAsia="Calibri" w:hAnsi="Calibri"/>
                <w:sz w:val="22"/>
                <w:szCs w:val="22"/>
              </w:rPr>
              <w:t xml:space="preserve">4 academic years (8 semesters), full-time, on campus</w:t>
            </w:r>
          </w:p>
        </w:tc>
      </w:tr>
      <w:tr>
        <w:tc>
          <w:tcPr>
            <w:tcW w:type="dxa" w:w="2900"/>
            <w:shd w:fill="EEF1F7" w:val="clear"/>
          </w:tcPr>
          <w:p>
            <w:pPr>
              <w:spacing w:after="40" w:before="40"/>
            </w:pPr>
            <w:r>
              <w:rPr>
                <w:rFonts w:ascii="Calibri" w:cs="Calibri" w:eastAsia="Calibri" w:hAnsi="Calibri"/>
                <w:b/>
                <w:bCs/>
                <w:sz w:val="22"/>
                <w:szCs w:val="22"/>
              </w:rPr>
              <w:t xml:space="preserve">Teaching System</w:t>
            </w:r>
          </w:p>
        </w:tc>
        <w:tc>
          <w:tcPr>
            <w:tcW w:type="dxa" w:w="6126"/>
          </w:tcPr>
          <w:p>
            <w:pPr>
              <w:spacing w:after="40" w:before="40"/>
            </w:pPr>
            <w:r>
              <w:rPr>
                <w:rFonts w:ascii="Calibri" w:cs="Calibri" w:eastAsia="Calibri" w:hAnsi="Calibri"/>
                <w:sz w:val="22"/>
                <w:szCs w:val="22"/>
              </w:rPr>
              <w:t xml:space="preserve">Bologna Process (outcome-based, ECTS, two-semester system)</w:t>
            </w:r>
          </w:p>
        </w:tc>
      </w:tr>
      <w:tr>
        <w:tc>
          <w:tcPr>
            <w:tcW w:type="dxa" w:w="2900"/>
            <w:shd w:fill="EEF1F7" w:val="clear"/>
          </w:tcPr>
          <w:p>
            <w:pPr>
              <w:spacing w:after="40" w:before="40"/>
            </w:pPr>
            <w:r>
              <w:rPr>
                <w:rFonts w:ascii="Calibri" w:cs="Calibri" w:eastAsia="Calibri" w:hAnsi="Calibri"/>
                <w:b/>
                <w:bCs/>
                <w:sz w:val="22"/>
                <w:szCs w:val="22"/>
              </w:rPr>
              <w:t xml:space="preserve">Credit Framework</w:t>
            </w:r>
          </w:p>
        </w:tc>
        <w:tc>
          <w:tcPr>
            <w:tcW w:type="dxa" w:w="6126"/>
          </w:tcPr>
          <w:p>
            <w:pPr>
              <w:spacing w:after="40" w:before="40"/>
            </w:pPr>
            <w:r>
              <w:rPr>
                <w:rFonts w:ascii="Calibri" w:cs="Calibri" w:eastAsia="Calibri" w:hAnsi="Calibri"/>
                <w:sz w:val="22"/>
                <w:szCs w:val="22"/>
              </w:rPr>
              <w:t xml:space="preserve">240 ECTS credits (1 ECTS = 25 hours of student workload)</w:t>
            </w:r>
          </w:p>
        </w:tc>
      </w:tr>
      <w:tr>
        <w:tc>
          <w:tcPr>
            <w:tcW w:type="dxa" w:w="2900"/>
            <w:shd w:fill="EEF1F7" w:val="clear"/>
          </w:tcPr>
          <w:p>
            <w:pPr>
              <w:spacing w:after="40" w:before="40"/>
            </w:pPr>
            <w:r>
              <w:rPr>
                <w:rFonts w:ascii="Calibri" w:cs="Calibri" w:eastAsia="Calibri" w:hAnsi="Calibri"/>
                <w:b/>
                <w:bCs/>
                <w:sz w:val="22"/>
                <w:szCs w:val="22"/>
              </w:rPr>
              <w:t xml:space="preserve">Language of Instruction</w:t>
            </w:r>
          </w:p>
        </w:tc>
        <w:tc>
          <w:tcPr>
            <w:tcW w:type="dxa" w:w="6126"/>
          </w:tcPr>
          <w:p>
            <w:pPr>
              <w:spacing w:after="40" w:before="40"/>
            </w:pPr>
            <w:r>
              <w:rPr>
                <w:rFonts w:ascii="Calibri" w:cs="Calibri" w:eastAsia="Calibri" w:hAnsi="Calibri"/>
                <w:sz w:val="22"/>
                <w:szCs w:val="22"/>
              </w:rPr>
              <w:t xml:space="preserve">Arabic (with English terminology)</w:t>
            </w:r>
          </w:p>
        </w:tc>
      </w:tr>
      <w:tr>
        <w:tc>
          <w:tcPr>
            <w:tcW w:type="dxa" w:w="2900"/>
            <w:shd w:fill="EEF1F7" w:val="clear"/>
          </w:tcPr>
          <w:p>
            <w:pPr>
              <w:spacing w:after="40" w:before="40"/>
            </w:pPr>
            <w:r>
              <w:rPr>
                <w:rFonts w:ascii="Calibri" w:cs="Calibri" w:eastAsia="Calibri" w:hAnsi="Calibri"/>
                <w:b/>
                <w:bCs/>
                <w:sz w:val="22"/>
                <w:szCs w:val="22"/>
              </w:rPr>
              <w:t xml:space="preserve">Regulatory Body</w:t>
            </w:r>
          </w:p>
        </w:tc>
        <w:tc>
          <w:tcPr>
            <w:tcW w:type="dxa" w:w="6126"/>
          </w:tcPr>
          <w:p>
            <w:pPr>
              <w:spacing w:after="40" w:before="40"/>
            </w:pPr>
            <w:r>
              <w:rPr>
                <w:rFonts w:ascii="Calibri" w:cs="Calibri" w:eastAsia="Calibri" w:hAnsi="Calibri"/>
                <w:sz w:val="22"/>
                <w:szCs w:val="22"/>
              </w:rPr>
              <w:t xml:space="preserve">Ministry of Higher Education and Scientific Research (MoHESR), Iraq</w:t>
            </w:r>
          </w:p>
        </w:tc>
      </w:tr>
    </w:tbl>
    <w:p>
      <w:pPr>
        <w:spacing w:after="120"/>
      </w:pPr>
    </w:p>
    <w:p>
      <w:pPr>
        <w:spacing w:after="60" w:before="160"/>
      </w:pPr>
      <w:r>
        <w:rPr>
          <w:rFonts w:ascii="Calibri" w:cs="Calibri" w:eastAsia="Calibri" w:hAnsi="Calibri"/>
          <w:b/>
          <w:bCs/>
          <w:color w:val="1F3864"/>
          <w:sz w:val="26"/>
          <w:szCs w:val="26"/>
        </w:rPr>
        <w:t xml:space="preserve">🌍 Our Vision: -</w:t>
      </w:r>
    </w:p>
    <w:p>
      <w:pPr>
        <w:spacing w:after="160"/>
      </w:pPr>
      <w:r>
        <w:rPr>
          <w:rFonts w:ascii="Calibri" w:cs="Calibri" w:eastAsia="Calibri" w:hAnsi="Calibri"/>
          <w:sz w:val="24"/>
          <w:szCs w:val="24"/>
        </w:rPr>
        <w:t xml:space="preserve">To be a leading academic department in painting and visual arts education, nurturing creative artists who express, preserve, and renew Iraq's visual culture and contribute to the cultural rebirth of Mosul.</w:t>
      </w:r>
    </w:p>
    <w:p>
      <w:pPr>
        <w:spacing w:after="60" w:before="160"/>
      </w:pPr>
      <w:r>
        <w:rPr>
          <w:rFonts w:ascii="Calibri" w:cs="Calibri" w:eastAsia="Calibri" w:hAnsi="Calibri"/>
          <w:b/>
          <w:bCs/>
          <w:color w:val="1F3864"/>
          <w:sz w:val="26"/>
          <w:szCs w:val="26"/>
        </w:rPr>
        <w:t xml:space="preserve">🎯 Our Mission: -</w:t>
      </w:r>
    </w:p>
    <w:p>
      <w:pPr>
        <w:spacing w:after="60"/>
      </w:pPr>
      <w:r>
        <w:rPr>
          <w:rFonts w:ascii="Calibri" w:cs="Calibri" w:eastAsia="Calibri" w:hAnsi="Calibri"/>
          <w:sz w:val="24"/>
          <w:szCs w:val="24"/>
        </w:rPr>
        <w:t xml:space="preserve">The Department of Art Education at AHU is committed to:</w:t>
      </w:r>
    </w:p>
    <w:p>
      <w:pPr>
        <w:pStyle w:val="ListParagraph"/>
        <w:numPr>
          <w:ilvl w:val="0"/>
          <w:numId w:val="2"/>
        </w:numPr>
        <w:spacing w:after="40"/>
      </w:pPr>
      <w:r>
        <w:rPr>
          <w:rFonts w:ascii="Calibri" w:cs="Calibri" w:eastAsia="Calibri" w:hAnsi="Calibri"/>
          <w:sz w:val="24"/>
          <w:szCs w:val="24"/>
        </w:rPr>
        <w:t xml:space="preserve">Delivering high-quality education in drawing, painting, and the visual arts.</w:t>
      </w:r>
    </w:p>
    <w:p>
      <w:pPr>
        <w:pStyle w:val="ListParagraph"/>
        <w:numPr>
          <w:ilvl w:val="0"/>
          <w:numId w:val="2"/>
        </w:numPr>
        <w:spacing w:after="40"/>
      </w:pPr>
      <w:r>
        <w:rPr>
          <w:rFonts w:ascii="Calibri" w:cs="Calibri" w:eastAsia="Calibri" w:hAnsi="Calibri"/>
          <w:sz w:val="24"/>
          <w:szCs w:val="24"/>
        </w:rPr>
        <w:t xml:space="preserve">Preparing professional artists and art educators with strong technical and conceptual foundations.</w:t>
      </w:r>
    </w:p>
    <w:p>
      <w:pPr>
        <w:pStyle w:val="ListParagraph"/>
        <w:numPr>
          <w:ilvl w:val="0"/>
          <w:numId w:val="2"/>
        </w:numPr>
        <w:spacing w:after="40"/>
      </w:pPr>
      <w:r>
        <w:rPr>
          <w:rFonts w:ascii="Calibri" w:cs="Calibri" w:eastAsia="Calibri" w:hAnsi="Calibri"/>
          <w:sz w:val="24"/>
          <w:szCs w:val="24"/>
        </w:rPr>
        <w:t xml:space="preserve">Advancing creative practice and research in the visual arts and Iraq's artistic heritage.</w:t>
      </w:r>
    </w:p>
    <w:p>
      <w:pPr>
        <w:pStyle w:val="ListParagraph"/>
        <w:numPr>
          <w:ilvl w:val="0"/>
          <w:numId w:val="2"/>
        </w:numPr>
        <w:spacing w:after="40"/>
      </w:pPr>
      <w:r>
        <w:rPr>
          <w:rFonts w:ascii="Calibri" w:cs="Calibri" w:eastAsia="Calibri" w:hAnsi="Calibri"/>
          <w:sz w:val="24"/>
          <w:szCs w:val="24"/>
        </w:rPr>
        <w:t xml:space="preserve">Serving the community through exhibitions, public art, and art-education programmes.</w:t>
      </w:r>
    </w:p>
    <w:p>
      <w:pPr>
        <w:pStyle w:val="ListParagraph"/>
        <w:numPr>
          <w:ilvl w:val="0"/>
          <w:numId w:val="2"/>
        </w:numPr>
        <w:spacing w:after="40"/>
      </w:pPr>
      <w:r>
        <w:rPr>
          <w:rFonts w:ascii="Calibri" w:cs="Calibri" w:eastAsia="Calibri" w:hAnsi="Calibri"/>
          <w:sz w:val="24"/>
          <w:szCs w:val="24"/>
        </w:rPr>
        <w:t xml:space="preserve">Strengthening partnerships with galleries, museums, and cultural institutions.</w:t>
      </w:r>
    </w:p>
    <w:p>
      <w:pPr>
        <w:spacing w:after="60" w:before="160"/>
      </w:pPr>
      <w:r>
        <w:rPr>
          <w:rFonts w:ascii="Calibri" w:cs="Calibri" w:eastAsia="Calibri" w:hAnsi="Calibri"/>
          <w:b/>
          <w:bCs/>
          <w:color w:val="1F3864"/>
          <w:sz w:val="26"/>
          <w:szCs w:val="26"/>
        </w:rPr>
        <w:t xml:space="preserve">🚀 Strategic Objectives: -</w:t>
      </w:r>
    </w:p>
    <w:p>
      <w:pPr>
        <w:spacing w:after="40" w:before="120"/>
      </w:pPr>
      <w:r>
        <w:rPr>
          <w:rFonts w:ascii="Calibri" w:cs="Calibri" w:eastAsia="Calibri" w:hAnsi="Calibri"/>
          <w:b/>
          <w:bCs/>
          <w:color w:val="9A3318"/>
          <w:sz w:val="24"/>
          <w:szCs w:val="24"/>
        </w:rPr>
        <w:t xml:space="preserve">✅ 1. Academic Excellence and Curriculum Innovation</w:t>
      </w:r>
    </w:p>
    <w:p>
      <w:pPr>
        <w:pStyle w:val="ListParagraph"/>
        <w:numPr>
          <w:ilvl w:val="0"/>
          <w:numId w:val="2"/>
        </w:numPr>
        <w:spacing w:after="40"/>
      </w:pPr>
      <w:r>
        <w:rPr>
          <w:rFonts w:ascii="Calibri" w:cs="Calibri" w:eastAsia="Calibri" w:hAnsi="Calibri"/>
          <w:sz w:val="24"/>
          <w:szCs w:val="24"/>
        </w:rPr>
        <w:t xml:space="preserve">Deliver modern programmes in drawing, painting techniques, colour theory, and art history, including Islamic and Iraqi art.</w:t>
      </w:r>
    </w:p>
    <w:p>
      <w:pPr>
        <w:pStyle w:val="ListParagraph"/>
        <w:numPr>
          <w:ilvl w:val="0"/>
          <w:numId w:val="2"/>
        </w:numPr>
        <w:spacing w:after="40"/>
      </w:pPr>
      <w:r>
        <w:rPr>
          <w:rFonts w:ascii="Calibri" w:cs="Calibri" w:eastAsia="Calibri" w:hAnsi="Calibri"/>
          <w:sz w:val="24"/>
          <w:szCs w:val="24"/>
        </w:rPr>
        <w:t xml:space="preserve">Integrate digital media and contemporary artistic practices into the curriculum.</w:t>
      </w:r>
    </w:p>
    <w:p>
      <w:pPr>
        <w:pStyle w:val="ListParagraph"/>
        <w:numPr>
          <w:ilvl w:val="0"/>
          <w:numId w:val="2"/>
        </w:numPr>
        <w:spacing w:after="40"/>
      </w:pPr>
      <w:r>
        <w:rPr>
          <w:rFonts w:ascii="Calibri" w:cs="Calibri" w:eastAsia="Calibri" w:hAnsi="Calibri"/>
          <w:sz w:val="24"/>
          <w:szCs w:val="24"/>
        </w:rPr>
        <w:t xml:space="preserve">Align programme structure with Bologna Process requirements (ECTS, learning outcomes).</w:t>
      </w:r>
    </w:p>
    <w:p>
      <w:pPr>
        <w:spacing w:after="40" w:before="120"/>
      </w:pPr>
      <w:r>
        <w:rPr>
          <w:rFonts w:ascii="Calibri" w:cs="Calibri" w:eastAsia="Calibri" w:hAnsi="Calibri"/>
          <w:b/>
          <w:bCs/>
          <w:color w:val="9A3318"/>
          <w:sz w:val="24"/>
          <w:szCs w:val="24"/>
        </w:rPr>
        <w:t xml:space="preserve">✅ 2. Practical Training and Skill Development</w:t>
      </w:r>
    </w:p>
    <w:p>
      <w:pPr>
        <w:pStyle w:val="ListParagraph"/>
        <w:numPr>
          <w:ilvl w:val="0"/>
          <w:numId w:val="2"/>
        </w:numPr>
        <w:spacing w:after="40"/>
      </w:pPr>
      <w:r>
        <w:rPr>
          <w:rFonts w:ascii="Calibri" w:cs="Calibri" w:eastAsia="Calibri" w:hAnsi="Calibri"/>
          <w:sz w:val="24"/>
          <w:szCs w:val="24"/>
        </w:rPr>
        <w:t xml:space="preserve">Provide intensive studio-based training across media and techniques.</w:t>
      </w:r>
    </w:p>
    <w:p>
      <w:pPr>
        <w:pStyle w:val="ListParagraph"/>
        <w:numPr>
          <w:ilvl w:val="0"/>
          <w:numId w:val="2"/>
        </w:numPr>
        <w:spacing w:after="40"/>
      </w:pPr>
      <w:r>
        <w:rPr>
          <w:rFonts w:ascii="Calibri" w:cs="Calibri" w:eastAsia="Calibri" w:hAnsi="Calibri"/>
          <w:sz w:val="24"/>
          <w:szCs w:val="24"/>
        </w:rPr>
        <w:t xml:space="preserve">Develop students' exhibition, curation, and mural-production skills.</w:t>
      </w:r>
    </w:p>
    <w:p>
      <w:pPr>
        <w:pStyle w:val="ListParagraph"/>
        <w:numPr>
          <w:ilvl w:val="0"/>
          <w:numId w:val="2"/>
        </w:numPr>
        <w:spacing w:after="40"/>
      </w:pPr>
      <w:r>
        <w:rPr>
          <w:rFonts w:ascii="Calibri" w:cs="Calibri" w:eastAsia="Calibri" w:hAnsi="Calibri"/>
          <w:sz w:val="24"/>
          <w:szCs w:val="24"/>
        </w:rPr>
        <w:t xml:space="preserve">Offer workshops with established artists and participation in art residencies.</w:t>
      </w:r>
    </w:p>
    <w:p>
      <w:pPr>
        <w:spacing w:after="40" w:before="120"/>
      </w:pPr>
      <w:r>
        <w:rPr>
          <w:rFonts w:ascii="Calibri" w:cs="Calibri" w:eastAsia="Calibri" w:hAnsi="Calibri"/>
          <w:b/>
          <w:bCs/>
          <w:color w:val="9A3318"/>
          <w:sz w:val="24"/>
          <w:szCs w:val="24"/>
        </w:rPr>
        <w:t xml:space="preserve">✅ 3. Research and Creative Advancement</w:t>
      </w:r>
    </w:p>
    <w:p>
      <w:pPr>
        <w:pStyle w:val="ListParagraph"/>
        <w:numPr>
          <w:ilvl w:val="0"/>
          <w:numId w:val="2"/>
        </w:numPr>
        <w:spacing w:after="40"/>
      </w:pPr>
      <w:r>
        <w:rPr>
          <w:rFonts w:ascii="Calibri" w:cs="Calibri" w:eastAsia="Calibri" w:hAnsi="Calibri"/>
          <w:sz w:val="24"/>
          <w:szCs w:val="24"/>
        </w:rPr>
        <w:t xml:space="preserve">Promote research and documentation of Mosul's artistic and visual heritage.</w:t>
      </w:r>
    </w:p>
    <w:p>
      <w:pPr>
        <w:pStyle w:val="ListParagraph"/>
        <w:numPr>
          <w:ilvl w:val="0"/>
          <w:numId w:val="2"/>
        </w:numPr>
        <w:spacing w:after="40"/>
      </w:pPr>
      <w:r>
        <w:rPr>
          <w:rFonts w:ascii="Calibri" w:cs="Calibri" w:eastAsia="Calibri" w:hAnsi="Calibri"/>
          <w:sz w:val="24"/>
          <w:szCs w:val="24"/>
        </w:rPr>
        <w:t xml:space="preserve">Support the production and publication of original creative and scholarly works.</w:t>
      </w:r>
    </w:p>
    <w:p>
      <w:pPr>
        <w:pStyle w:val="ListParagraph"/>
        <w:numPr>
          <w:ilvl w:val="0"/>
          <w:numId w:val="2"/>
        </w:numPr>
        <w:spacing w:after="40"/>
      </w:pPr>
      <w:r>
        <w:rPr>
          <w:rFonts w:ascii="Calibri" w:cs="Calibri" w:eastAsia="Calibri" w:hAnsi="Calibri"/>
          <w:sz w:val="24"/>
          <w:szCs w:val="24"/>
        </w:rPr>
        <w:t xml:space="preserve">Establish partnerships with national and international art institutions.</w:t>
      </w:r>
    </w:p>
    <w:p>
      <w:pPr>
        <w:spacing w:after="40" w:before="120"/>
      </w:pPr>
      <w:r>
        <w:rPr>
          <w:rFonts w:ascii="Calibri" w:cs="Calibri" w:eastAsia="Calibri" w:hAnsi="Calibri"/>
          <w:b/>
          <w:bCs/>
          <w:color w:val="9A3318"/>
          <w:sz w:val="24"/>
          <w:szCs w:val="24"/>
        </w:rPr>
        <w:t xml:space="preserve">✅ 4. Community Engagement and Cultural Impact</w:t>
      </w:r>
    </w:p>
    <w:p>
      <w:pPr>
        <w:pStyle w:val="ListParagraph"/>
        <w:numPr>
          <w:ilvl w:val="0"/>
          <w:numId w:val="2"/>
        </w:numPr>
        <w:spacing w:after="40"/>
      </w:pPr>
      <w:r>
        <w:rPr>
          <w:rFonts w:ascii="Calibri" w:cs="Calibri" w:eastAsia="Calibri" w:hAnsi="Calibri"/>
          <w:sz w:val="24"/>
          <w:szCs w:val="24"/>
        </w:rPr>
        <w:t xml:space="preserve">Organize public exhibitions, murals, and community art projects in the reconstructed city.</w:t>
      </w:r>
    </w:p>
    <w:p>
      <w:pPr>
        <w:pStyle w:val="ListParagraph"/>
        <w:numPr>
          <w:ilvl w:val="0"/>
          <w:numId w:val="2"/>
        </w:numPr>
        <w:spacing w:after="40"/>
      </w:pPr>
      <w:r>
        <w:rPr>
          <w:rFonts w:ascii="Calibri" w:cs="Calibri" w:eastAsia="Calibri" w:hAnsi="Calibri"/>
          <w:sz w:val="24"/>
          <w:szCs w:val="24"/>
        </w:rPr>
        <w:t xml:space="preserve">Provide art-education programmes for schools and the wider community.</w:t>
      </w:r>
    </w:p>
    <w:p>
      <w:pPr>
        <w:pStyle w:val="ListParagraph"/>
        <w:numPr>
          <w:ilvl w:val="0"/>
          <w:numId w:val="2"/>
        </w:numPr>
        <w:spacing w:after="40"/>
      </w:pPr>
      <w:r>
        <w:rPr>
          <w:rFonts w:ascii="Calibri" w:cs="Calibri" w:eastAsia="Calibri" w:hAnsi="Calibri"/>
          <w:sz w:val="24"/>
          <w:szCs w:val="24"/>
        </w:rPr>
        <w:t xml:space="preserve">Contribute to festivals and cultural events that enrich Mosul's public life.</w:t>
      </w:r>
    </w:p>
    <w:p>
      <w:pPr>
        <w:spacing w:after="40" w:before="120"/>
      </w:pPr>
      <w:r>
        <w:rPr>
          <w:rFonts w:ascii="Calibri" w:cs="Calibri" w:eastAsia="Calibri" w:hAnsi="Calibri"/>
          <w:b/>
          <w:bCs/>
          <w:color w:val="9A3318"/>
          <w:sz w:val="24"/>
          <w:szCs w:val="24"/>
        </w:rPr>
        <w:t xml:space="preserve">✅ 5. Student Success and Career Readiness</w:t>
      </w:r>
    </w:p>
    <w:p>
      <w:pPr>
        <w:pStyle w:val="ListParagraph"/>
        <w:numPr>
          <w:ilvl w:val="0"/>
          <w:numId w:val="2"/>
        </w:numPr>
        <w:spacing w:after="40"/>
      </w:pPr>
      <w:r>
        <w:rPr>
          <w:rFonts w:ascii="Calibri" w:cs="Calibri" w:eastAsia="Calibri" w:hAnsi="Calibri"/>
          <w:sz w:val="24"/>
          <w:szCs w:val="24"/>
        </w:rPr>
        <w:t xml:space="preserve">Prepare graduates for careers in fine arts, art education, illustration, and design.</w:t>
      </w:r>
    </w:p>
    <w:p>
      <w:pPr>
        <w:pStyle w:val="ListParagraph"/>
        <w:numPr>
          <w:ilvl w:val="0"/>
          <w:numId w:val="2"/>
        </w:numPr>
        <w:spacing w:after="40"/>
      </w:pPr>
      <w:r>
        <w:rPr>
          <w:rFonts w:ascii="Calibri" w:cs="Calibri" w:eastAsia="Calibri" w:hAnsi="Calibri"/>
          <w:sz w:val="24"/>
          <w:szCs w:val="24"/>
        </w:rPr>
        <w:t xml:space="preserve">Strengthen portfolio development, career mentorship, and professional networking.</w:t>
      </w:r>
    </w:p>
    <w:p>
      <w:pPr>
        <w:pStyle w:val="ListParagraph"/>
        <w:numPr>
          <w:ilvl w:val="0"/>
          <w:numId w:val="2"/>
        </w:numPr>
        <w:spacing w:after="40"/>
      </w:pPr>
      <w:r>
        <w:rPr>
          <w:rFonts w:ascii="Calibri" w:cs="Calibri" w:eastAsia="Calibri" w:hAnsi="Calibri"/>
          <w:sz w:val="24"/>
          <w:szCs w:val="24"/>
        </w:rPr>
        <w:t xml:space="preserve">Foster alumni relations to support graduates' artistic and professional growth.</w:t>
      </w:r>
    </w:p>
    <w:p>
      <w:pPr>
        <w:spacing w:after="40" w:before="120"/>
      </w:pPr>
      <w:r>
        <w:rPr>
          <w:rFonts w:ascii="Calibri" w:cs="Calibri" w:eastAsia="Calibri" w:hAnsi="Calibri"/>
          <w:b/>
          <w:bCs/>
          <w:color w:val="9A3318"/>
          <w:sz w:val="24"/>
          <w:szCs w:val="24"/>
        </w:rPr>
        <w:t xml:space="preserve">✅ 6. Quality Assurance and Recognition</w:t>
      </w:r>
    </w:p>
    <w:p>
      <w:pPr>
        <w:pStyle w:val="ListParagraph"/>
        <w:numPr>
          <w:ilvl w:val="0"/>
          <w:numId w:val="2"/>
        </w:numPr>
        <w:spacing w:after="40"/>
      </w:pPr>
      <w:r>
        <w:rPr>
          <w:rFonts w:ascii="Calibri" w:cs="Calibri" w:eastAsia="Calibri" w:hAnsi="Calibri"/>
          <w:sz w:val="24"/>
          <w:szCs w:val="24"/>
        </w:rPr>
        <w:t xml:space="preserve">Ensure compliance with MoHESR standards and Bologna Process requirements.</w:t>
      </w:r>
    </w:p>
    <w:p>
      <w:pPr>
        <w:pStyle w:val="ListParagraph"/>
        <w:numPr>
          <w:ilvl w:val="0"/>
          <w:numId w:val="2"/>
        </w:numPr>
        <w:spacing w:after="40"/>
      </w:pPr>
      <w:r>
        <w:rPr>
          <w:rFonts w:ascii="Calibri" w:cs="Calibri" w:eastAsia="Calibri" w:hAnsi="Calibri"/>
          <w:sz w:val="24"/>
          <w:szCs w:val="24"/>
        </w:rPr>
        <w:t xml:space="preserve">Benchmark programmes against international standards in art education.</w:t>
      </w:r>
    </w:p>
    <w:p>
      <w:pPr>
        <w:pStyle w:val="ListParagraph"/>
        <w:numPr>
          <w:ilvl w:val="0"/>
          <w:numId w:val="2"/>
        </w:numPr>
        <w:spacing w:after="40"/>
      </w:pPr>
      <w:r>
        <w:rPr>
          <w:rFonts w:ascii="Calibri" w:cs="Calibri" w:eastAsia="Calibri" w:hAnsi="Calibri"/>
          <w:sz w:val="24"/>
          <w:szCs w:val="24"/>
        </w:rPr>
        <w:t xml:space="preserve">Regularly review and update the curriculum based on artistic and market developments.</w:t>
      </w:r>
    </w:p>
    <w:p>
      <w:pPr>
        <w:spacing w:after="40" w:before="120"/>
      </w:pPr>
      <w:r>
        <w:rPr>
          <w:rFonts w:ascii="Calibri" w:cs="Calibri" w:eastAsia="Calibri" w:hAnsi="Calibri"/>
          <w:b/>
          <w:bCs/>
          <w:color w:val="9A3318"/>
          <w:sz w:val="24"/>
          <w:szCs w:val="24"/>
        </w:rPr>
        <w:t xml:space="preserve">✅ 7. Green Education, Sustainability, and Artificial Intelligence</w:t>
      </w:r>
    </w:p>
    <w:p>
      <w:pPr>
        <w:pStyle w:val="ListParagraph"/>
        <w:numPr>
          <w:ilvl w:val="0"/>
          <w:numId w:val="2"/>
        </w:numPr>
        <w:spacing w:after="40"/>
      </w:pPr>
      <w:r>
        <w:rPr>
          <w:rFonts w:ascii="Calibri" w:cs="Calibri" w:eastAsia="Calibri" w:hAnsi="Calibri"/>
          <w:sz w:val="24"/>
          <w:szCs w:val="24"/>
        </w:rPr>
        <w:t xml:space="preserve">Integrate eco-friendly materials and sustainable studio practice into the curriculum.</w:t>
      </w:r>
    </w:p>
    <w:p>
      <w:pPr>
        <w:pStyle w:val="ListParagraph"/>
        <w:numPr>
          <w:ilvl w:val="0"/>
          <w:numId w:val="2"/>
        </w:numPr>
        <w:spacing w:after="40"/>
      </w:pPr>
      <w:r>
        <w:rPr>
          <w:rFonts w:ascii="Calibri" w:cs="Calibri" w:eastAsia="Calibri" w:hAnsi="Calibri"/>
          <w:sz w:val="24"/>
          <w:szCs w:val="24"/>
        </w:rPr>
        <w:t xml:space="preserve">Embed digital and AI-assisted creation tools in artistic training.</w:t>
      </w:r>
    </w:p>
    <w:p>
      <w:pPr>
        <w:pStyle w:val="ListParagraph"/>
        <w:numPr>
          <w:ilvl w:val="0"/>
          <w:numId w:val="2"/>
        </w:numPr>
        <w:spacing w:after="40"/>
      </w:pPr>
      <w:r>
        <w:rPr>
          <w:rFonts w:ascii="Calibri" w:cs="Calibri" w:eastAsia="Calibri" w:hAnsi="Calibri"/>
          <w:sz w:val="24"/>
          <w:szCs w:val="24"/>
        </w:rPr>
        <w:t xml:space="preserve">Direct public art and exhibitions toward environmental and SDG themes in Mosul.</w:t>
      </w:r>
    </w:p>
    <w:p>
      <w:pPr>
        <w:spacing w:after="60" w:before="160"/>
      </w:pPr>
      <w:r>
        <w:rPr>
          <w:rFonts w:ascii="Calibri" w:cs="Calibri" w:eastAsia="Calibri" w:hAnsi="Calibri"/>
          <w:b/>
          <w:bCs/>
          <w:color w:val="1F3864"/>
          <w:sz w:val="26"/>
          <w:szCs w:val="26"/>
        </w:rPr>
        <w:t xml:space="preserve">🎓 Programme Learning Outcomes: -</w:t>
      </w:r>
    </w:p>
    <w:p>
      <w:pPr>
        <w:spacing w:after="80"/>
      </w:pPr>
      <w:r>
        <w:rPr>
          <w:rFonts w:ascii="Calibri" w:cs="Calibri" w:eastAsia="Calibri" w:hAnsi="Calibri"/>
          <w:sz w:val="24"/>
          <w:szCs w:val="24"/>
        </w:rPr>
        <w:t xml:space="preserve">The learning outcomes of the Art Education programme define the creative abilities, technical mastery, and professional attributes of its graduates. Developed in line with the outcome-based approach of the Bologna Process and the Iraq National Qualifications Framework, they position graduates to contribute to the visual and cultural rebirth of Mosul through exhibitions, public art, and art education across Iraq.</w:t>
      </w:r>
    </w:p>
    <w:p>
      <w:pPr>
        <w:spacing w:after="60"/>
      </w:pPr>
      <w:r>
        <w:rPr>
          <w:rFonts w:ascii="Calibri" w:cs="Calibri" w:eastAsia="Calibri" w:hAnsi="Calibri"/>
          <w:sz w:val="24"/>
          <w:szCs w:val="24"/>
        </w:rPr>
        <w:t xml:space="preserve">Upon successful completion of the programme, the graduate will be able to:</w:t>
      </w:r>
    </w:p>
    <w:p>
      <w:pPr>
        <w:spacing w:after="40"/>
        <w:ind w:left="360"/>
      </w:pPr>
      <w:r>
        <w:rPr>
          <w:rFonts w:ascii="Calibri" w:cs="Calibri" w:eastAsia="Calibri" w:hAnsi="Calibri"/>
          <w:b/>
          <w:bCs/>
          <w:color w:val="9A3318"/>
          <w:sz w:val="24"/>
          <w:szCs w:val="24"/>
        </w:rPr>
        <w:t xml:space="preserve">PLO1: </w:t>
      </w:r>
      <w:r>
        <w:rPr>
          <w:rFonts w:ascii="Calibri" w:cs="Calibri" w:eastAsia="Calibri" w:hAnsi="Calibri"/>
          <w:sz w:val="24"/>
          <w:szCs w:val="24"/>
        </w:rPr>
        <w:t xml:space="preserve">Create original artworks in drawing and painting that demonstrate mastery of techniques, media, and composition.</w:t>
      </w:r>
    </w:p>
    <w:p>
      <w:pPr>
        <w:spacing w:after="40"/>
        <w:ind w:left="360"/>
      </w:pPr>
      <w:r>
        <w:rPr>
          <w:rFonts w:ascii="Calibri" w:cs="Calibri" w:eastAsia="Calibri" w:hAnsi="Calibri"/>
          <w:b/>
          <w:bCs/>
          <w:color w:val="9A3318"/>
          <w:sz w:val="24"/>
          <w:szCs w:val="24"/>
        </w:rPr>
        <w:t xml:space="preserve">PLO2: </w:t>
      </w:r>
      <w:r>
        <w:rPr>
          <w:rFonts w:ascii="Calibri" w:cs="Calibri" w:eastAsia="Calibri" w:hAnsi="Calibri"/>
          <w:sz w:val="24"/>
          <w:szCs w:val="24"/>
        </w:rPr>
        <w:t xml:space="preserve">Apply colour theory, anatomy, perspective, and art-historical knowledge — including Islamic and Iraqi art — in creative practice.</w:t>
      </w:r>
    </w:p>
    <w:p>
      <w:pPr>
        <w:spacing w:after="40"/>
        <w:ind w:left="360"/>
      </w:pPr>
      <w:r>
        <w:rPr>
          <w:rFonts w:ascii="Calibri" w:cs="Calibri" w:eastAsia="Calibri" w:hAnsi="Calibri"/>
          <w:b/>
          <w:bCs/>
          <w:color w:val="9A3318"/>
          <w:sz w:val="24"/>
          <w:szCs w:val="24"/>
        </w:rPr>
        <w:t xml:space="preserve">PLO3: </w:t>
      </w:r>
      <w:r>
        <w:rPr>
          <w:rFonts w:ascii="Calibri" w:cs="Calibri" w:eastAsia="Calibri" w:hAnsi="Calibri"/>
          <w:sz w:val="24"/>
          <w:szCs w:val="24"/>
        </w:rPr>
        <w:t xml:space="preserve">Use digital tools for design, illustration, and the professional presentation of artworks.</w:t>
      </w:r>
    </w:p>
    <w:p>
      <w:pPr>
        <w:spacing w:after="40"/>
        <w:ind w:left="360"/>
      </w:pPr>
      <w:r>
        <w:rPr>
          <w:rFonts w:ascii="Calibri" w:cs="Calibri" w:eastAsia="Calibri" w:hAnsi="Calibri"/>
          <w:b/>
          <w:bCs/>
          <w:color w:val="9A3318"/>
          <w:sz w:val="24"/>
          <w:szCs w:val="24"/>
        </w:rPr>
        <w:t xml:space="preserve">PLO4: </w:t>
      </w:r>
      <w:r>
        <w:rPr>
          <w:rFonts w:ascii="Calibri" w:cs="Calibri" w:eastAsia="Calibri" w:hAnsi="Calibri"/>
          <w:sz w:val="24"/>
          <w:szCs w:val="24"/>
        </w:rPr>
        <w:t xml:space="preserve">Contribute to the visual and cultural revival of Mosul through exhibitions, murals, and community art projects.</w:t>
      </w:r>
    </w:p>
    <w:p>
      <w:pPr>
        <w:spacing w:after="40"/>
        <w:ind w:left="360"/>
      </w:pPr>
      <w:r>
        <w:rPr>
          <w:rFonts w:ascii="Calibri" w:cs="Calibri" w:eastAsia="Calibri" w:hAnsi="Calibri"/>
          <w:b/>
          <w:bCs/>
          <w:color w:val="9A3318"/>
          <w:sz w:val="24"/>
          <w:szCs w:val="24"/>
        </w:rPr>
        <w:t xml:space="preserve">PLO5: </w:t>
      </w:r>
      <w:r>
        <w:rPr>
          <w:rFonts w:ascii="Calibri" w:cs="Calibri" w:eastAsia="Calibri" w:hAnsi="Calibri"/>
          <w:sz w:val="24"/>
          <w:szCs w:val="24"/>
        </w:rPr>
        <w:t xml:space="preserve">Demonstrate professional ethics, critical reflection, and effective communication, with a commitment to lifelong artistic development and art education.</w:t>
      </w:r>
    </w:p>
    <w:p>
      <w:pPr>
        <w:spacing w:after="40"/>
        <w:ind w:left="360"/>
      </w:pPr>
      <w:r>
        <w:rPr>
          <w:rFonts w:ascii="Calibri" w:cs="Calibri" w:eastAsia="Calibri" w:hAnsi="Calibri"/>
          <w:b/>
          <w:bCs/>
          <w:color w:val="9A3318"/>
          <w:sz w:val="24"/>
          <w:szCs w:val="24"/>
        </w:rPr>
        <w:t xml:space="preserve">PLO6: </w:t>
      </w:r>
      <w:r>
        <w:rPr>
          <w:rFonts w:ascii="Calibri" w:cs="Calibri" w:eastAsia="Calibri" w:hAnsi="Calibri"/>
          <w:sz w:val="24"/>
          <w:szCs w:val="24"/>
        </w:rPr>
        <w:t xml:space="preserve">Use artificial intelligence and digital media tools in artistic creation and presentation.</w:t>
      </w:r>
    </w:p>
    <w:p>
      <w:pPr>
        <w:spacing w:after="40"/>
        <w:ind w:left="360"/>
      </w:pPr>
      <w:r>
        <w:rPr>
          <w:rFonts w:ascii="Calibri" w:cs="Calibri" w:eastAsia="Calibri" w:hAnsi="Calibri"/>
          <w:b/>
          <w:bCs/>
          <w:color w:val="9A3318"/>
          <w:sz w:val="24"/>
          <w:szCs w:val="24"/>
        </w:rPr>
        <w:t xml:space="preserve">PLO7: </w:t>
      </w:r>
      <w:r>
        <w:rPr>
          <w:rFonts w:ascii="Calibri" w:cs="Calibri" w:eastAsia="Calibri" w:hAnsi="Calibri"/>
          <w:sz w:val="24"/>
          <w:szCs w:val="24"/>
        </w:rPr>
        <w:t xml:space="preserve">Apply sustainable art practices using eco-friendly materials and responsible studio management.</w:t>
      </w:r>
    </w:p>
    <w:p>
      <w:pPr>
        <w:spacing w:after="40"/>
        <w:ind w:left="360"/>
      </w:pPr>
      <w:r>
        <w:rPr>
          <w:rFonts w:ascii="Calibri" w:cs="Calibri" w:eastAsia="Calibri" w:hAnsi="Calibri"/>
          <w:b/>
          <w:bCs/>
          <w:color w:val="9A3318"/>
          <w:sz w:val="24"/>
          <w:szCs w:val="24"/>
        </w:rPr>
        <w:t xml:space="preserve">PLO8: </w:t>
      </w:r>
      <w:r>
        <w:rPr>
          <w:rFonts w:ascii="Calibri" w:cs="Calibri" w:eastAsia="Calibri" w:hAnsi="Calibri"/>
          <w:sz w:val="24"/>
          <w:szCs w:val="24"/>
        </w:rPr>
        <w:t xml:space="preserve">Document and digitally preserve Mosul's visual heritage using modern technologies.</w:t>
      </w:r>
    </w:p>
    <w:p>
      <w:pPr>
        <w:spacing w:after="40"/>
        <w:ind w:left="360"/>
      </w:pPr>
      <w:r>
        <w:rPr>
          <w:rFonts w:ascii="Calibri" w:cs="Calibri" w:eastAsia="Calibri" w:hAnsi="Calibri"/>
          <w:b/>
          <w:bCs/>
          <w:color w:val="9A3318"/>
          <w:sz w:val="24"/>
          <w:szCs w:val="24"/>
        </w:rPr>
        <w:t xml:space="preserve">PLO9: </w:t>
      </w:r>
      <w:r>
        <w:rPr>
          <w:rFonts w:ascii="Calibri" w:cs="Calibri" w:eastAsia="Calibri" w:hAnsi="Calibri"/>
          <w:sz w:val="24"/>
          <w:szCs w:val="24"/>
        </w:rPr>
        <w:t xml:space="preserve">Create artworks and public art that promote environmental awareness and social renewal.</w:t>
      </w:r>
    </w:p>
    <w:p>
      <w:pPr>
        <w:spacing w:after="40"/>
        <w:ind w:left="360"/>
      </w:pPr>
      <w:r>
        <w:rPr>
          <w:rFonts w:ascii="Calibri" w:cs="Calibri" w:eastAsia="Calibri" w:hAnsi="Calibri"/>
          <w:b/>
          <w:bCs/>
          <w:color w:val="9A3318"/>
          <w:sz w:val="24"/>
          <w:szCs w:val="24"/>
        </w:rPr>
        <w:t xml:space="preserve">PLO10: </w:t>
      </w:r>
      <w:r>
        <w:rPr>
          <w:rFonts w:ascii="Calibri" w:cs="Calibri" w:eastAsia="Calibri" w:hAnsi="Calibri"/>
          <w:sz w:val="24"/>
          <w:szCs w:val="24"/>
        </w:rPr>
        <w:t xml:space="preserve">Demonstrate green artistic citizenship and support the SDGs through visual culture.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240"/>
    </w:pPr>
    <w:rPr>
      <w:rFonts w:ascii="Calibri" w:cs="Calibri" w:eastAsia="Calibri" w:hAnsi="Calibri"/>
      <w:b/>
      <w:bCs/>
      <w:color w:val="1F3864"/>
      <w:sz w:val="34"/>
      <w:szCs w:val="34"/>
    </w:rPr>
  </w:style>
  <w:style w:type="paragraph" w:styleId="Heading2">
    <w:name w:val="Heading 2"/>
    <w:basedOn w:val="Normal"/>
    <w:next w:val="Normal"/>
    <w:qFormat/>
    <w:pPr>
      <w:spacing w:after="120" w:before="200"/>
    </w:pPr>
    <w:rPr>
      <w:rFonts w:ascii="Calibri" w:cs="Calibri" w:eastAsia="Calibri" w:hAnsi="Calibri"/>
      <w:b/>
      <w:bCs/>
      <w:color w:val="9A3318"/>
      <w:sz w:val="28"/>
      <w:szCs w:val="28"/>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80c7b87bc34f5f91bf4638c69138782bfc08ddb.png"/><Relationship Id="rId8" Type="http://schemas.openxmlformats.org/officeDocument/2006/relationships/image" Target="media/1578e6ffab289f54152205c79ba6fa10761d7af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2026-08-19T18:49:13.739Z</dcterms:created>
  <dcterms:modified xsi:type="dcterms:W3CDTF">2026-08-19T18:49:13.739Z</dcterms:modified>
</cp:coreProperties>
</file>

<file path=docProps/custom.xml><?xml version="1.0" encoding="utf-8"?>
<Properties xmlns="http://schemas.openxmlformats.org/officeDocument/2006/custom-properties" xmlns:vt="http://schemas.openxmlformats.org/officeDocument/2006/docPropsVTypes"/>
</file>